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rPr/>
      </w:pPr>
      <w:r w:rsidDel="00000000" w:rsidR="00000000" w:rsidRPr="00000000">
        <w:rPr>
          <w:rtl w:val="0"/>
        </w:rPr>
        <w:t xml:space="preserve">INTRODUCTION</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jc w:val="both"/>
        <w:rPr>
          <w:rFonts w:ascii="Gotham" w:cs="Gotham" w:eastAsia="Gotham" w:hAnsi="Gotham"/>
          <w:color w:val="000000"/>
          <w:sz w:val="22"/>
          <w:szCs w:val="22"/>
        </w:rPr>
      </w:pPr>
      <w:r w:rsidDel="00000000" w:rsidR="00000000" w:rsidRPr="00000000">
        <w:rPr>
          <w:rFonts w:ascii="Gotham" w:cs="Gotham" w:eastAsia="Gotham" w:hAnsi="Gotham"/>
          <w:sz w:val="22"/>
          <w:szCs w:val="22"/>
          <w:rtl w:val="0"/>
        </w:rPr>
        <w:t xml:space="preserve">Meubles</w:t>
      </w:r>
      <w:r w:rsidDel="00000000" w:rsidR="00000000" w:rsidRPr="00000000">
        <w:rPr>
          <w:rFonts w:ascii="Gotham" w:cs="Gotham" w:eastAsia="Gotham" w:hAnsi="Gotham"/>
          <w:color w:val="000000"/>
          <w:sz w:val="22"/>
          <w:szCs w:val="22"/>
          <w:rtl w:val="0"/>
        </w:rPr>
        <w:t xml:space="preserve"> La-Z-Boy de l'Est de l'Ontario et de l'Ouest du Québec (LZB) s'engage à respecter les exigences de la Loi de 2005 sur l'accessibilité pour les personnes handicapées de l'Ontario (LAPHO), du Règlement sur les normes d'accessibilité intégrées (RNAI) et de toute autre loi applicable en matière d'accessibilité. Nous fournissons des biens, des services, des informations et des emplois dans le respect de la dignité, de l'autonomie, de l'intégration et de l'égalité des chances pour les personnes handicapées. Ce plan d'accessibilité décrit les mesures que nous prenons pour respecter les exigences et améliorer les possibilités offertes aux personnes handicapées.</w:t>
      </w:r>
    </w:p>
    <w:p w:rsidR="00000000" w:rsidDel="00000000" w:rsidP="00000000" w:rsidRDefault="00000000" w:rsidRPr="00000000" w14:paraId="00000003">
      <w:pPr>
        <w:pStyle w:val="Heading3"/>
        <w:rPr>
          <w:color w:val="000000"/>
        </w:rPr>
      </w:pPr>
      <w:r w:rsidDel="00000000" w:rsidR="00000000" w:rsidRPr="00000000">
        <w:rPr>
          <w:rtl w:val="0"/>
        </w:rPr>
        <w:t xml:space="preserve">RÉALISATIONS PASSÉES POUR SUPPRIMER ET PRÉVENIR LES OBSTACLES</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jc w:val="both"/>
        <w:rPr>
          <w:rFonts w:ascii="Gotham" w:cs="Gotham" w:eastAsia="Gotham" w:hAnsi="Gotham"/>
          <w:color w:val="000000"/>
          <w:sz w:val="22"/>
          <w:szCs w:val="22"/>
        </w:rPr>
      </w:pPr>
      <w:r w:rsidDel="00000000" w:rsidR="00000000" w:rsidRPr="00000000">
        <w:rPr>
          <w:rFonts w:ascii="Gotham" w:cs="Gotham" w:eastAsia="Gotham" w:hAnsi="Gotham"/>
          <w:color w:val="000000"/>
          <w:sz w:val="22"/>
          <w:szCs w:val="22"/>
          <w:rtl w:val="0"/>
        </w:rPr>
        <w:t xml:space="preserve">Ce document comprend un résumé des initiatives d’accessibilité réalisées par LZB.</w:t>
      </w:r>
    </w:p>
    <w:p w:rsidR="00000000" w:rsidDel="00000000" w:rsidP="00000000" w:rsidRDefault="00000000" w:rsidRPr="00000000" w14:paraId="00000005">
      <w:pPr>
        <w:pStyle w:val="Heading3"/>
        <w:rPr>
          <w:color w:val="000000"/>
        </w:rPr>
      </w:pPr>
      <w:r w:rsidDel="00000000" w:rsidR="00000000" w:rsidRPr="00000000">
        <w:rPr>
          <w:rtl w:val="0"/>
        </w:rPr>
        <w:t xml:space="preserve">PARTIE I – EXIGENCES GÉNÉRALES</w:t>
      </w:r>
      <w:r w:rsidDel="00000000" w:rsidR="00000000" w:rsidRPr="00000000">
        <w:rPr>
          <w:rtl w:val="0"/>
        </w:rPr>
      </w:r>
    </w:p>
    <w:tbl>
      <w:tblPr>
        <w:tblStyle w:val="Table1"/>
        <w:tblW w:w="10816.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2041"/>
        <w:gridCol w:w="4758"/>
        <w:gridCol w:w="2410"/>
        <w:gridCol w:w="1607"/>
        <w:tblGridChange w:id="0">
          <w:tblGrid>
            <w:gridCol w:w="2041"/>
            <w:gridCol w:w="4758"/>
            <w:gridCol w:w="2410"/>
            <w:gridCol w:w="1607"/>
          </w:tblGrid>
        </w:tblGridChange>
      </w:tblGrid>
      <w:tr>
        <w:trPr>
          <w:cantSplit w:val="0"/>
          <w:tblHeader w:val="0"/>
        </w:trPr>
        <w:tc>
          <w:tcPr/>
          <w:p w:rsidR="00000000" w:rsidDel="00000000" w:rsidP="00000000" w:rsidRDefault="00000000" w:rsidRPr="00000000" w14:paraId="00000006">
            <w:pPr>
              <w:jc w:val="center"/>
              <w:rPr>
                <w:rFonts w:ascii="Gotham" w:cs="Gotham" w:eastAsia="Gotham" w:hAnsi="Gotham"/>
                <w:sz w:val="22"/>
                <w:szCs w:val="22"/>
              </w:rPr>
            </w:pPr>
            <w:r w:rsidDel="00000000" w:rsidR="00000000" w:rsidRPr="00000000">
              <w:rPr>
                <w:rFonts w:ascii="Gotham" w:cs="Gotham" w:eastAsia="Gotham" w:hAnsi="Gotham"/>
                <w:b w:val="0"/>
                <w:sz w:val="22"/>
                <w:szCs w:val="22"/>
                <w:rtl w:val="0"/>
              </w:rPr>
              <w:t xml:space="preserve">Initiative</w:t>
            </w:r>
            <w:r w:rsidDel="00000000" w:rsidR="00000000" w:rsidRPr="00000000">
              <w:rPr>
                <w:rtl w:val="0"/>
              </w:rPr>
            </w:r>
          </w:p>
        </w:tc>
        <w:tc>
          <w:tcPr/>
          <w:p w:rsidR="00000000" w:rsidDel="00000000" w:rsidP="00000000" w:rsidRDefault="00000000" w:rsidRPr="00000000" w14:paraId="00000007">
            <w:pPr>
              <w:jc w:val="center"/>
              <w:rPr>
                <w:rFonts w:ascii="Gotham" w:cs="Gotham" w:eastAsia="Gotham" w:hAnsi="Gotham"/>
                <w:sz w:val="22"/>
                <w:szCs w:val="22"/>
              </w:rPr>
            </w:pPr>
            <w:r w:rsidDel="00000000" w:rsidR="00000000" w:rsidRPr="00000000">
              <w:rPr>
                <w:rFonts w:ascii="Gotham" w:cs="Gotham" w:eastAsia="Gotham" w:hAnsi="Gotham"/>
                <w:b w:val="0"/>
                <w:sz w:val="22"/>
                <w:szCs w:val="22"/>
                <w:rtl w:val="0"/>
              </w:rPr>
              <w:t xml:space="preserve">Description</w:t>
            </w:r>
            <w:r w:rsidDel="00000000" w:rsidR="00000000" w:rsidRPr="00000000">
              <w:rPr>
                <w:rtl w:val="0"/>
              </w:rPr>
            </w:r>
          </w:p>
        </w:tc>
        <w:tc>
          <w:tcPr/>
          <w:p w:rsidR="00000000" w:rsidDel="00000000" w:rsidP="00000000" w:rsidRDefault="00000000" w:rsidRPr="00000000" w14:paraId="00000008">
            <w:pPr>
              <w:jc w:val="center"/>
              <w:rPr>
                <w:rFonts w:ascii="Gotham" w:cs="Gotham" w:eastAsia="Gotham" w:hAnsi="Gotham"/>
                <w:sz w:val="22"/>
                <w:szCs w:val="22"/>
              </w:rPr>
            </w:pPr>
            <w:r w:rsidDel="00000000" w:rsidR="00000000" w:rsidRPr="00000000">
              <w:rPr>
                <w:rFonts w:ascii="Gotham" w:cs="Gotham" w:eastAsia="Gotham" w:hAnsi="Gotham"/>
                <w:b w:val="0"/>
                <w:sz w:val="22"/>
                <w:szCs w:val="22"/>
                <w:rtl w:val="0"/>
              </w:rPr>
              <w:t xml:space="preserve">Action</w:t>
            </w:r>
            <w:r w:rsidDel="00000000" w:rsidR="00000000" w:rsidRPr="00000000">
              <w:rPr>
                <w:rtl w:val="0"/>
              </w:rPr>
            </w:r>
          </w:p>
        </w:tc>
        <w:tc>
          <w:tcPr/>
          <w:p w:rsidR="00000000" w:rsidDel="00000000" w:rsidP="00000000" w:rsidRDefault="00000000" w:rsidRPr="00000000" w14:paraId="00000009">
            <w:pPr>
              <w:jc w:val="center"/>
              <w:rPr>
                <w:rFonts w:ascii="Gotham" w:cs="Gotham" w:eastAsia="Gotham" w:hAnsi="Gotham"/>
                <w:sz w:val="22"/>
                <w:szCs w:val="22"/>
              </w:rPr>
            </w:pPr>
            <w:r w:rsidDel="00000000" w:rsidR="00000000" w:rsidRPr="00000000">
              <w:rPr>
                <w:rFonts w:ascii="Gotham" w:cs="Gotham" w:eastAsia="Gotham" w:hAnsi="Gotham"/>
                <w:b w:val="0"/>
                <w:sz w:val="22"/>
                <w:szCs w:val="22"/>
                <w:rtl w:val="0"/>
              </w:rPr>
              <w:t xml:space="preserve">Date de conformité en vertu de la LAPHO</w:t>
            </w:r>
            <w:r w:rsidDel="00000000" w:rsidR="00000000" w:rsidRPr="00000000">
              <w:rPr>
                <w:rtl w:val="0"/>
              </w:rPr>
            </w:r>
          </w:p>
        </w:tc>
      </w:tr>
      <w:tr>
        <w:trPr>
          <w:cantSplit w:val="0"/>
          <w:tblHeader w:val="0"/>
        </w:trPr>
        <w:tc>
          <w:tcPr/>
          <w:p w:rsidR="00000000" w:rsidDel="00000000" w:rsidP="00000000" w:rsidRDefault="00000000" w:rsidRPr="00000000" w14:paraId="0000000A">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0B">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0C">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Établissement de politiques d'accessibilité</w:t>
            </w:r>
          </w:p>
        </w:tc>
        <w:tc>
          <w:tcPr/>
          <w:p w:rsidR="00000000" w:rsidDel="00000000" w:rsidP="00000000" w:rsidRDefault="00000000" w:rsidRPr="00000000" w14:paraId="0000000D">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3.(1) Toute organisation assujettie doit élaborer, mettre en œuvre et maintenir des politiques régissant la manière dont elle atteint ou atteindra l’accessibilité en répondant aux exigences visées dans le présent règlement.</w:t>
            </w:r>
          </w:p>
        </w:tc>
        <w:tc>
          <w:tcPr/>
          <w:p w:rsidR="00000000" w:rsidDel="00000000" w:rsidP="00000000" w:rsidRDefault="00000000" w:rsidRPr="00000000" w14:paraId="0000000E">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Complété</w:t>
            </w:r>
          </w:p>
          <w:p w:rsidR="00000000" w:rsidDel="00000000" w:rsidP="00000000" w:rsidRDefault="00000000" w:rsidRPr="00000000" w14:paraId="0000000F">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10">
            <w:pPr>
              <w:rPr>
                <w:rFonts w:ascii="Gotham" w:cs="Gotham" w:eastAsia="Gotham" w:hAnsi="Gotham"/>
                <w:sz w:val="22"/>
                <w:szCs w:val="22"/>
              </w:rPr>
            </w:pPr>
            <w:hyperlink r:id="rId7">
              <w:r w:rsidDel="00000000" w:rsidR="00000000" w:rsidRPr="00000000">
                <w:rPr>
                  <w:rFonts w:ascii="Gotham" w:cs="Gotham" w:eastAsia="Gotham" w:hAnsi="Gotham"/>
                  <w:color w:val="1155cc"/>
                  <w:sz w:val="22"/>
                  <w:szCs w:val="22"/>
                  <w:u w:val="single"/>
                  <w:rtl w:val="0"/>
                </w:rPr>
                <w:t xml:space="preserve">Politique sur le site Web</w:t>
              </w:r>
            </w:hyperlink>
            <w:r w:rsidDel="00000000" w:rsidR="00000000" w:rsidRPr="00000000">
              <w:rPr>
                <w:rFonts w:ascii="Gotham" w:cs="Gotham" w:eastAsia="Gotham" w:hAnsi="Gotham"/>
                <w:sz w:val="22"/>
                <w:szCs w:val="22"/>
                <w:rtl w:val="0"/>
              </w:rPr>
              <w:t xml:space="preserve"> </w:t>
            </w:r>
          </w:p>
        </w:tc>
        <w:tc>
          <w:tcPr/>
          <w:p w:rsidR="00000000" w:rsidDel="00000000" w:rsidP="00000000" w:rsidRDefault="00000000" w:rsidRPr="00000000" w14:paraId="00000011">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11 août 2025 – Lancement du manuel</w:t>
            </w:r>
          </w:p>
          <w:p w:rsidR="00000000" w:rsidDel="00000000" w:rsidP="00000000" w:rsidRDefault="00000000" w:rsidRPr="00000000" w14:paraId="00000012">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13">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31 juillet 2025 – </w:t>
            </w:r>
            <w:hyperlink r:id="rId8">
              <w:r w:rsidDel="00000000" w:rsidR="00000000" w:rsidRPr="00000000">
                <w:rPr>
                  <w:rFonts w:ascii="Gotham" w:cs="Gotham" w:eastAsia="Gotham" w:hAnsi="Gotham"/>
                  <w:color w:val="1155cc"/>
                  <w:sz w:val="22"/>
                  <w:szCs w:val="22"/>
                  <w:u w:val="single"/>
                  <w:rtl w:val="0"/>
                </w:rPr>
                <w:t xml:space="preserve">Politique sur le site Web,</w:t>
              </w:r>
            </w:hyperlink>
            <w:r w:rsidDel="00000000" w:rsidR="00000000" w:rsidRPr="00000000">
              <w:rPr>
                <w:rFonts w:ascii="Gotham" w:cs="Gotham" w:eastAsia="Gotham" w:hAnsi="Gotham"/>
                <w:sz w:val="22"/>
                <w:szCs w:val="22"/>
                <w:rtl w:val="0"/>
              </w:rPr>
              <w:t xml:space="preserve"> mise à jour le 28 août 2025</w:t>
            </w:r>
          </w:p>
          <w:p w:rsidR="00000000" w:rsidDel="00000000" w:rsidP="00000000" w:rsidRDefault="00000000" w:rsidRPr="00000000" w14:paraId="00000014">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15">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16">
            <w:pPr>
              <w:rPr>
                <w:rFonts w:ascii="Gotham" w:cs="Gotham" w:eastAsia="Gotham" w:hAnsi="Gotham"/>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7">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18">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19">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1A">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1B">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1C">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Plans d'accessibilité</w:t>
            </w:r>
          </w:p>
        </w:tc>
        <w:tc>
          <w:tcPr/>
          <w:p w:rsidR="00000000" w:rsidDel="00000000" w:rsidP="00000000" w:rsidRDefault="00000000" w:rsidRPr="00000000" w14:paraId="0000001D">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4.(1) […] Les grandes organisations (&gt; 50 employés) doivent :</w:t>
            </w:r>
          </w:p>
          <w:p w:rsidR="00000000" w:rsidDel="00000000" w:rsidP="00000000" w:rsidRDefault="00000000" w:rsidRPr="00000000" w14:paraId="0000001E">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1F">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a) établir, mettre en œuvre, tenir à jour et documenter un plan d’accessibilité pluriannuel qui décrit la stratégie de l’organisation pour prévenir et éliminer les obstacles et satisfaire à ses exigences en vertu du présent règlement;</w:t>
            </w:r>
          </w:p>
          <w:p w:rsidR="00000000" w:rsidDel="00000000" w:rsidP="00000000" w:rsidRDefault="00000000" w:rsidRPr="00000000" w14:paraId="00000020">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21">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(b) publier le plan d'accessibilité sur son site Web, le cas échéant, et fournir le plan dans un format accessible sur demande; et</w:t>
            </w:r>
          </w:p>
          <w:p w:rsidR="00000000" w:rsidDel="00000000" w:rsidP="00000000" w:rsidRDefault="00000000" w:rsidRPr="00000000" w14:paraId="00000022">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23">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(c) revoir et mettre à jour le plan d’accessibilité au moins une fois tous les cinq ans.</w:t>
            </w:r>
          </w:p>
        </w:tc>
        <w:tc>
          <w:tcPr/>
          <w:p w:rsidR="00000000" w:rsidDel="00000000" w:rsidP="00000000" w:rsidRDefault="00000000" w:rsidRPr="00000000" w14:paraId="00000024">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25">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26">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a) </w:t>
            </w:r>
            <w:r w:rsidDel="00000000" w:rsidR="00000000" w:rsidRPr="00000000">
              <w:rPr>
                <w:rFonts w:ascii="Gotham" w:cs="Gotham" w:eastAsia="Gotham" w:hAnsi="Gotham"/>
                <w:sz w:val="22"/>
                <w:szCs w:val="22"/>
                <w:rtl w:val="0"/>
              </w:rPr>
              <w:t xml:space="preserve">Complété</w:t>
            </w:r>
            <w:r w:rsidDel="00000000" w:rsidR="00000000" w:rsidRPr="00000000">
              <w:rPr>
                <w:rtl w:val="0"/>
              </w:rPr>
            </w:r>
          </w:p>
          <w:p w:rsidR="00000000" w:rsidDel="00000000" w:rsidP="00000000" w:rsidRDefault="00000000" w:rsidRPr="00000000" w14:paraId="00000027">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28">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b) Complété</w:t>
            </w:r>
          </w:p>
          <w:p w:rsidR="00000000" w:rsidDel="00000000" w:rsidP="00000000" w:rsidRDefault="00000000" w:rsidRPr="00000000" w14:paraId="00000029">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2A">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c) Date de révision placée dans le calendrier de l'entreprise</w:t>
            </w:r>
          </w:p>
        </w:tc>
        <w:tc>
          <w:tcPr/>
          <w:p w:rsidR="00000000" w:rsidDel="00000000" w:rsidP="00000000" w:rsidRDefault="00000000" w:rsidRPr="00000000" w14:paraId="0000002B">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2C">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2D">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a) 23 juillet 2025</w:t>
            </w:r>
          </w:p>
          <w:p w:rsidR="00000000" w:rsidDel="00000000" w:rsidP="00000000" w:rsidRDefault="00000000" w:rsidRPr="00000000" w14:paraId="0000002E">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2F">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b) 28 août 2025</w:t>
            </w:r>
          </w:p>
          <w:p w:rsidR="00000000" w:rsidDel="00000000" w:rsidP="00000000" w:rsidRDefault="00000000" w:rsidRPr="00000000" w14:paraId="00000030">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31">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c) Révision en 2028</w:t>
            </w:r>
          </w:p>
        </w:tc>
      </w:tr>
      <w:tr>
        <w:trPr>
          <w:cantSplit w:val="0"/>
          <w:trHeight w:val="558" w:hRule="atLeast"/>
          <w:tblHeader w:val="0"/>
        </w:trPr>
        <w:tc>
          <w:tcPr/>
          <w:p w:rsidR="00000000" w:rsidDel="00000000" w:rsidP="00000000" w:rsidRDefault="00000000" w:rsidRPr="00000000" w14:paraId="00000032">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33">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34">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35">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36">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37">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38">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39">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Formation</w:t>
            </w:r>
          </w:p>
        </w:tc>
        <w:tc>
          <w:tcPr/>
          <w:p w:rsidR="00000000" w:rsidDel="00000000" w:rsidP="00000000" w:rsidRDefault="00000000" w:rsidRPr="00000000" w14:paraId="0000003A">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7.(1) Toute organisation assujettie doit veiller à ce qu'une formation soit dispensée sur les exigences des normes d'accessibilité visées dans le présent règlement et sur le Code des droits de la personne en ce qui concerne les personnes handicapées, aux personnes suivantes :</w:t>
            </w:r>
          </w:p>
          <w:p w:rsidR="00000000" w:rsidDel="00000000" w:rsidP="00000000" w:rsidRDefault="00000000" w:rsidRPr="00000000" w14:paraId="0000003B">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a) toutes les personnes qui sont des employés ou des bénévoles de l’organisation;</w:t>
            </w:r>
          </w:p>
          <w:p w:rsidR="00000000" w:rsidDel="00000000" w:rsidP="00000000" w:rsidRDefault="00000000" w:rsidRPr="00000000" w14:paraId="0000003C">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3D">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(b) toutes les personnes qui participent à l'élaboration des politiques de l'organisation; et</w:t>
            </w:r>
          </w:p>
          <w:p w:rsidR="00000000" w:rsidDel="00000000" w:rsidP="00000000" w:rsidRDefault="00000000" w:rsidRPr="00000000" w14:paraId="0000003E">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(c) toutes les autres personnes qui fournissent des biens, des services ou des installations au nom de l’organisation.</w:t>
            </w:r>
          </w:p>
        </w:tc>
        <w:tc>
          <w:tcPr/>
          <w:p w:rsidR="00000000" w:rsidDel="00000000" w:rsidP="00000000" w:rsidRDefault="00000000" w:rsidRPr="00000000" w14:paraId="0000003F">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Liens de formation intégrés dans le manuel et la documentation d'intégration - tous les employés, sous-traitants, représentants de l'entreprise</w:t>
            </w:r>
          </w:p>
        </w:tc>
        <w:tc>
          <w:tcPr/>
          <w:p w:rsidR="00000000" w:rsidDel="00000000" w:rsidP="00000000" w:rsidRDefault="00000000" w:rsidRPr="00000000" w14:paraId="00000040">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11 août 2025 – Lancement du manuel</w:t>
            </w:r>
          </w:p>
          <w:p w:rsidR="00000000" w:rsidDel="00000000" w:rsidP="00000000" w:rsidRDefault="00000000" w:rsidRPr="00000000" w14:paraId="00000041">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42">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Date à déterminer – Déploiement du programme d'intégration</w:t>
            </w:r>
          </w:p>
          <w:p w:rsidR="00000000" w:rsidDel="00000000" w:rsidP="00000000" w:rsidRDefault="00000000" w:rsidRPr="00000000" w14:paraId="00000043">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44">
            <w:pPr>
              <w:rPr>
                <w:rFonts w:ascii="Gotham" w:cs="Gotham" w:eastAsia="Gotham" w:hAnsi="Gotham"/>
                <w:sz w:val="22"/>
                <w:szCs w:val="22"/>
              </w:rPr>
            </w:pPr>
            <w:r w:rsidDel="00000000" w:rsidR="00000000" w:rsidRPr="00000000">
              <w:rPr>
                <w:rtl w:val="0"/>
              </w:rPr>
            </w:r>
          </w:p>
        </w:tc>
      </w:tr>
    </w:tbl>
    <w:p w:rsidR="00000000" w:rsidDel="00000000" w:rsidP="00000000" w:rsidRDefault="00000000" w:rsidRPr="00000000" w14:paraId="00000045">
      <w:pPr>
        <w:keepNext w:val="1"/>
        <w:keepLines w:val="1"/>
        <w:pBdr>
          <w:top w:space="0" w:sz="0" w:val="nil"/>
          <w:left w:space="0" w:sz="0" w:val="nil"/>
          <w:bottom w:space="0" w:sz="0" w:val="nil"/>
          <w:right w:space="0" w:sz="0" w:val="nil"/>
          <w:between w:space="0" w:sz="0" w:val="nil"/>
        </w:pBdr>
        <w:spacing w:after="0" w:lineRule="auto"/>
        <w:jc w:val="both"/>
        <w:rPr>
          <w:rFonts w:ascii="Gotham" w:cs="Gotham" w:eastAsia="Gotham" w:hAnsi="Gotham"/>
          <w:color w:val="000000"/>
          <w:sz w:val="22"/>
          <w:szCs w:val="22"/>
        </w:rPr>
      </w:pPr>
      <w:r w:rsidDel="00000000" w:rsidR="00000000" w:rsidRPr="00000000">
        <w:rPr>
          <w:rtl w:val="0"/>
        </w:rPr>
      </w:r>
    </w:p>
    <w:p w:rsidR="00000000" w:rsidDel="00000000" w:rsidP="00000000" w:rsidRDefault="00000000" w:rsidRPr="00000000" w14:paraId="00000046">
      <w:pPr>
        <w:pStyle w:val="Heading3"/>
        <w:rPr>
          <w:color w:val="000000"/>
        </w:rPr>
      </w:pPr>
      <w:r w:rsidDel="00000000" w:rsidR="00000000" w:rsidRPr="00000000">
        <w:rPr>
          <w:rtl w:val="0"/>
        </w:rPr>
        <w:t xml:space="preserve">PARTIE II – Normes d’information et de communication</w:t>
      </w:r>
      <w:r w:rsidDel="00000000" w:rsidR="00000000" w:rsidRPr="00000000">
        <w:rPr>
          <w:rtl w:val="0"/>
        </w:rPr>
      </w:r>
    </w:p>
    <w:tbl>
      <w:tblPr>
        <w:tblStyle w:val="Table2"/>
        <w:tblW w:w="10816.000000000002"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2053"/>
        <w:gridCol w:w="4703"/>
        <w:gridCol w:w="2366"/>
        <w:gridCol w:w="1694"/>
        <w:tblGridChange w:id="0">
          <w:tblGrid>
            <w:gridCol w:w="2053"/>
            <w:gridCol w:w="4703"/>
            <w:gridCol w:w="2366"/>
            <w:gridCol w:w="1694"/>
          </w:tblGrid>
        </w:tblGridChange>
      </w:tblGrid>
      <w:tr>
        <w:trPr>
          <w:cantSplit w:val="0"/>
          <w:tblHeader w:val="0"/>
        </w:trPr>
        <w:tc>
          <w:tcPr/>
          <w:p w:rsidR="00000000" w:rsidDel="00000000" w:rsidP="00000000" w:rsidRDefault="00000000" w:rsidRPr="00000000" w14:paraId="00000047">
            <w:pPr>
              <w:jc w:val="center"/>
              <w:rPr>
                <w:rFonts w:ascii="Gotham" w:cs="Gotham" w:eastAsia="Gotham" w:hAnsi="Gotham"/>
                <w:sz w:val="22"/>
                <w:szCs w:val="22"/>
              </w:rPr>
            </w:pPr>
            <w:r w:rsidDel="00000000" w:rsidR="00000000" w:rsidRPr="00000000">
              <w:rPr>
                <w:rFonts w:ascii="Gotham" w:cs="Gotham" w:eastAsia="Gotham" w:hAnsi="Gotham"/>
                <w:b w:val="0"/>
                <w:sz w:val="22"/>
                <w:szCs w:val="22"/>
                <w:rtl w:val="0"/>
              </w:rPr>
              <w:t xml:space="preserve">Initiative</w:t>
            </w:r>
            <w:r w:rsidDel="00000000" w:rsidR="00000000" w:rsidRPr="00000000">
              <w:rPr>
                <w:rtl w:val="0"/>
              </w:rPr>
            </w:r>
          </w:p>
        </w:tc>
        <w:tc>
          <w:tcPr/>
          <w:p w:rsidR="00000000" w:rsidDel="00000000" w:rsidP="00000000" w:rsidRDefault="00000000" w:rsidRPr="00000000" w14:paraId="00000048">
            <w:pPr>
              <w:jc w:val="center"/>
              <w:rPr>
                <w:rFonts w:ascii="Gotham" w:cs="Gotham" w:eastAsia="Gotham" w:hAnsi="Gotham"/>
                <w:sz w:val="22"/>
                <w:szCs w:val="22"/>
              </w:rPr>
            </w:pPr>
            <w:r w:rsidDel="00000000" w:rsidR="00000000" w:rsidRPr="00000000">
              <w:rPr>
                <w:rFonts w:ascii="Gotham" w:cs="Gotham" w:eastAsia="Gotham" w:hAnsi="Gotham"/>
                <w:b w:val="0"/>
                <w:sz w:val="22"/>
                <w:szCs w:val="22"/>
                <w:rtl w:val="0"/>
              </w:rPr>
              <w:t xml:space="preserve">Description</w:t>
            </w:r>
            <w:r w:rsidDel="00000000" w:rsidR="00000000" w:rsidRPr="00000000">
              <w:rPr>
                <w:rtl w:val="0"/>
              </w:rPr>
            </w:r>
          </w:p>
        </w:tc>
        <w:tc>
          <w:tcPr/>
          <w:p w:rsidR="00000000" w:rsidDel="00000000" w:rsidP="00000000" w:rsidRDefault="00000000" w:rsidRPr="00000000" w14:paraId="00000049">
            <w:pPr>
              <w:jc w:val="center"/>
              <w:rPr>
                <w:rFonts w:ascii="Gotham" w:cs="Gotham" w:eastAsia="Gotham" w:hAnsi="Gotham"/>
                <w:sz w:val="22"/>
                <w:szCs w:val="22"/>
              </w:rPr>
            </w:pPr>
            <w:r w:rsidDel="00000000" w:rsidR="00000000" w:rsidRPr="00000000">
              <w:rPr>
                <w:rFonts w:ascii="Gotham" w:cs="Gotham" w:eastAsia="Gotham" w:hAnsi="Gotham"/>
                <w:b w:val="0"/>
                <w:sz w:val="22"/>
                <w:szCs w:val="22"/>
                <w:rtl w:val="0"/>
              </w:rPr>
              <w:t xml:space="preserve">Action</w:t>
            </w:r>
            <w:r w:rsidDel="00000000" w:rsidR="00000000" w:rsidRPr="00000000">
              <w:rPr>
                <w:rtl w:val="0"/>
              </w:rPr>
            </w:r>
          </w:p>
        </w:tc>
        <w:tc>
          <w:tcPr/>
          <w:p w:rsidR="00000000" w:rsidDel="00000000" w:rsidP="00000000" w:rsidRDefault="00000000" w:rsidRPr="00000000" w14:paraId="0000004A">
            <w:pPr>
              <w:jc w:val="center"/>
              <w:rPr>
                <w:rFonts w:ascii="Gotham" w:cs="Gotham" w:eastAsia="Gotham" w:hAnsi="Gotham"/>
                <w:sz w:val="22"/>
                <w:szCs w:val="22"/>
              </w:rPr>
            </w:pPr>
            <w:r w:rsidDel="00000000" w:rsidR="00000000" w:rsidRPr="00000000">
              <w:rPr>
                <w:rFonts w:ascii="Gotham" w:cs="Gotham" w:eastAsia="Gotham" w:hAnsi="Gotham"/>
                <w:b w:val="0"/>
                <w:sz w:val="22"/>
                <w:szCs w:val="22"/>
                <w:rtl w:val="0"/>
              </w:rPr>
              <w:t xml:space="preserve">Date de conformité - LAPHO</w:t>
            </w:r>
            <w:r w:rsidDel="00000000" w:rsidR="00000000" w:rsidRPr="00000000">
              <w:rPr>
                <w:rtl w:val="0"/>
              </w:rPr>
            </w:r>
          </w:p>
        </w:tc>
      </w:tr>
      <w:tr>
        <w:trPr>
          <w:cantSplit w:val="0"/>
          <w:tblHeader w:val="0"/>
        </w:trPr>
        <w:tc>
          <w:tcPr/>
          <w:p w:rsidR="00000000" w:rsidDel="00000000" w:rsidP="00000000" w:rsidRDefault="00000000" w:rsidRPr="00000000" w14:paraId="0000004B">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4C">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4D">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4E">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4F">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Rétroaction</w:t>
            </w:r>
          </w:p>
        </w:tc>
        <w:tc>
          <w:tcPr/>
          <w:p w:rsidR="00000000" w:rsidDel="00000000" w:rsidP="00000000" w:rsidRDefault="00000000" w:rsidRPr="00000000" w14:paraId="00000050">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11.(1) Toute organisation assujettie qui dispose de processus pour recevoir et répondre aux commentaires doit s’assurer que les processus sont accessibles aux personnes handicapées en fournissant ou en faisant fournir des formats accessibles et des supports de communication, sur demande.</w:t>
            </w:r>
          </w:p>
        </w:tc>
        <w:tc>
          <w:tcPr/>
          <w:p w:rsidR="00000000" w:rsidDel="00000000" w:rsidP="00000000" w:rsidRDefault="00000000" w:rsidRPr="00000000" w14:paraId="00000051">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Processus de rétroaction identifié dans la politique du Manuel.</w:t>
            </w:r>
          </w:p>
          <w:p w:rsidR="00000000" w:rsidDel="00000000" w:rsidP="00000000" w:rsidRDefault="00000000" w:rsidRPr="00000000" w14:paraId="00000052">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53">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Identifié dans </w:t>
            </w:r>
            <w:hyperlink r:id="rId9">
              <w:r w:rsidDel="00000000" w:rsidR="00000000" w:rsidRPr="00000000">
                <w:rPr>
                  <w:rFonts w:ascii="Gotham" w:cs="Gotham" w:eastAsia="Gotham" w:hAnsi="Gotham"/>
                  <w:color w:val="1155cc"/>
                  <w:sz w:val="22"/>
                  <w:szCs w:val="22"/>
                  <w:u w:val="single"/>
                  <w:rtl w:val="0"/>
                </w:rPr>
                <w:t xml:space="preserve">la politique sur le site Web.</w:t>
              </w:r>
            </w:hyperlink>
            <w:r w:rsidDel="00000000" w:rsidR="00000000" w:rsidRPr="00000000">
              <w:rPr>
                <w:rFonts w:ascii="Gotham" w:cs="Gotham" w:eastAsia="Gotham" w:hAnsi="Gotham"/>
                <w:sz w:val="22"/>
                <w:szCs w:val="22"/>
                <w:rtl w:val="0"/>
              </w:rPr>
              <w:t xml:space="preserve"> </w:t>
            </w:r>
            <w:hyperlink r:id="rId10">
              <w:r w:rsidDel="00000000" w:rsidR="00000000" w:rsidRPr="00000000">
                <w:rPr>
                  <w:rFonts w:ascii="Gotham" w:cs="Gotham" w:eastAsia="Gotham" w:hAnsi="Gotham"/>
                  <w:color w:val="1155cc"/>
                  <w:sz w:val="22"/>
                  <w:szCs w:val="22"/>
                  <w:u w:val="single"/>
                  <w:rtl w:val="0"/>
                </w:rPr>
                <w:t xml:space="preserve">LAPHO</w:t>
              </w:r>
            </w:hyperlink>
            <w:r w:rsidDel="00000000" w:rsidR="00000000" w:rsidRPr="00000000">
              <w:rPr>
                <w:rtl w:val="0"/>
              </w:rPr>
            </w:r>
          </w:p>
          <w:p w:rsidR="00000000" w:rsidDel="00000000" w:rsidP="00000000" w:rsidRDefault="00000000" w:rsidRPr="00000000" w14:paraId="00000054">
            <w:pPr>
              <w:rPr>
                <w:rFonts w:ascii="Gotham" w:cs="Gotham" w:eastAsia="Gotham" w:hAnsi="Gotham"/>
                <w:sz w:val="22"/>
                <w:szCs w:val="22"/>
              </w:rPr>
            </w:pPr>
            <w:r w:rsidDel="00000000" w:rsidR="00000000" w:rsidRPr="00000000">
              <w:rPr>
                <w:rtl w:val="0"/>
              </w:rPr>
            </w:r>
          </w:p>
        </w:tc>
        <w:tc>
          <w:tcPr/>
          <w:p w:rsidR="00000000" w:rsidDel="00000000" w:rsidP="00000000" w:rsidRDefault="00000000" w:rsidRPr="00000000" w14:paraId="00000055">
            <w:pPr>
              <w:rPr>
                <w:rFonts w:ascii="Gotham" w:cs="Gotham" w:eastAsia="Gotham" w:hAnsi="Gotham"/>
                <w:sz w:val="22"/>
                <w:szCs w:val="22"/>
              </w:rPr>
            </w:pPr>
            <w:r w:rsidDel="00000000" w:rsidR="00000000" w:rsidRPr="00000000">
              <w:rPr>
                <w:sz w:val="22"/>
                <w:szCs w:val="22"/>
                <w:rtl w:val="0"/>
              </w:rPr>
              <w:t xml:space="preserve">11 août 2025 – Lancement du manuel</w:t>
            </w:r>
            <w:r w:rsidDel="00000000" w:rsidR="00000000" w:rsidRPr="00000000">
              <w:rPr>
                <w:rtl w:val="0"/>
              </w:rPr>
            </w:r>
          </w:p>
          <w:p w:rsidR="00000000" w:rsidDel="00000000" w:rsidP="00000000" w:rsidRDefault="00000000" w:rsidRPr="00000000" w14:paraId="00000056">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57">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31 juillet 2025 – </w:t>
            </w:r>
            <w:hyperlink r:id="rId11">
              <w:r w:rsidDel="00000000" w:rsidR="00000000" w:rsidRPr="00000000">
                <w:rPr>
                  <w:rFonts w:ascii="Gotham" w:cs="Gotham" w:eastAsia="Gotham" w:hAnsi="Gotham"/>
                  <w:color w:val="1155cc"/>
                  <w:sz w:val="22"/>
                  <w:szCs w:val="22"/>
                  <w:u w:val="single"/>
                  <w:rtl w:val="0"/>
                </w:rPr>
                <w:t xml:space="preserve">Politique sur le site Web,</w:t>
              </w:r>
            </w:hyperlink>
            <w:r w:rsidDel="00000000" w:rsidR="00000000" w:rsidRPr="00000000">
              <w:rPr>
                <w:rFonts w:ascii="Gotham" w:cs="Gotham" w:eastAsia="Gotham" w:hAnsi="Gotham"/>
                <w:sz w:val="22"/>
                <w:szCs w:val="22"/>
                <w:rtl w:val="0"/>
              </w:rPr>
              <w:t xml:space="preserve"> mise à jour le 28 août 2025</w:t>
            </w:r>
          </w:p>
          <w:p w:rsidR="00000000" w:rsidDel="00000000" w:rsidP="00000000" w:rsidRDefault="00000000" w:rsidRPr="00000000" w14:paraId="00000058">
            <w:pPr>
              <w:rPr>
                <w:rFonts w:ascii="Gotham" w:cs="Gotham" w:eastAsia="Gotham" w:hAnsi="Gotham"/>
                <w:sz w:val="22"/>
                <w:szCs w:val="22"/>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59">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Formats accessibles et supports de communication</w:t>
            </w:r>
          </w:p>
        </w:tc>
        <w:tc>
          <w:tcPr/>
          <w:p w:rsidR="00000000" w:rsidDel="00000000" w:rsidP="00000000" w:rsidRDefault="00000000" w:rsidRPr="00000000" w14:paraId="00000062">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12.(1) Sauf disposition contraire, toute organisation assujettie doit, sur demande, fournir ou faire fournir des formats accessibles et des supports de communication aux personnes handicapées,</w:t>
            </w:r>
          </w:p>
          <w:p w:rsidR="00000000" w:rsidDel="00000000" w:rsidP="00000000" w:rsidRDefault="00000000" w:rsidRPr="00000000" w14:paraId="00000063">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a) en temps opportun, en tenant compte des besoins d'accessibilité de la personne en raison de son handicap; et</w:t>
            </w:r>
          </w:p>
          <w:p w:rsidR="00000000" w:rsidDel="00000000" w:rsidP="00000000" w:rsidRDefault="00000000" w:rsidRPr="00000000" w14:paraId="00000064">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(b) à un coût qui n’est pas supérieur au coût habituel facturé aux autres personnes.</w:t>
            </w:r>
          </w:p>
        </w:tc>
        <w:tc>
          <w:tcPr/>
          <w:p w:rsidR="00000000" w:rsidDel="00000000" w:rsidP="00000000" w:rsidRDefault="00000000" w:rsidRPr="00000000" w14:paraId="00000065">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Identifié dans le manuel.</w:t>
            </w:r>
          </w:p>
          <w:p w:rsidR="00000000" w:rsidDel="00000000" w:rsidP="00000000" w:rsidRDefault="00000000" w:rsidRPr="00000000" w14:paraId="00000066">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67">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Identifié dans </w:t>
            </w:r>
            <w:hyperlink r:id="rId12">
              <w:r w:rsidDel="00000000" w:rsidR="00000000" w:rsidRPr="00000000">
                <w:rPr>
                  <w:rFonts w:ascii="Gotham" w:cs="Gotham" w:eastAsia="Gotham" w:hAnsi="Gotham"/>
                  <w:color w:val="1155cc"/>
                  <w:sz w:val="22"/>
                  <w:szCs w:val="22"/>
                  <w:u w:val="single"/>
                  <w:rtl w:val="0"/>
                </w:rPr>
                <w:t xml:space="preserve">la politique sur le site Web.</w:t>
              </w:r>
            </w:hyperlink>
            <w:r w:rsidDel="00000000" w:rsidR="00000000" w:rsidRPr="00000000">
              <w:rPr>
                <w:rFonts w:ascii="Gotham" w:cs="Gotham" w:eastAsia="Gotham" w:hAnsi="Gotham"/>
                <w:sz w:val="22"/>
                <w:szCs w:val="22"/>
                <w:rtl w:val="0"/>
              </w:rPr>
              <w:t xml:space="preserve"> </w:t>
            </w:r>
            <w:hyperlink r:id="rId13">
              <w:r w:rsidDel="00000000" w:rsidR="00000000" w:rsidRPr="00000000">
                <w:rPr>
                  <w:rFonts w:ascii="Gotham" w:cs="Gotham" w:eastAsia="Gotham" w:hAnsi="Gotham"/>
                  <w:color w:val="1155cc"/>
                  <w:sz w:val="22"/>
                  <w:szCs w:val="22"/>
                  <w:u w:val="single"/>
                  <w:rtl w:val="0"/>
                </w:rPr>
                <w:t xml:space="preserve">LAPHO</w:t>
              </w:r>
            </w:hyperlink>
            <w:r w:rsidDel="00000000" w:rsidR="00000000" w:rsidRPr="00000000">
              <w:rPr>
                <w:rtl w:val="0"/>
              </w:rPr>
            </w:r>
          </w:p>
          <w:p w:rsidR="00000000" w:rsidDel="00000000" w:rsidP="00000000" w:rsidRDefault="00000000" w:rsidRPr="00000000" w14:paraId="00000068">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69">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6A">
            <w:pPr>
              <w:rPr>
                <w:rFonts w:ascii="Gotham" w:cs="Gotham" w:eastAsia="Gotham" w:hAnsi="Gotham"/>
                <w:sz w:val="22"/>
                <w:szCs w:val="22"/>
              </w:rPr>
            </w:pPr>
            <w:r w:rsidDel="00000000" w:rsidR="00000000" w:rsidRPr="00000000">
              <w:rPr>
                <w:rtl w:val="0"/>
              </w:rPr>
            </w:r>
          </w:p>
        </w:tc>
        <w:tc>
          <w:tcPr/>
          <w:p w:rsidR="00000000" w:rsidDel="00000000" w:rsidP="00000000" w:rsidRDefault="00000000" w:rsidRPr="00000000" w14:paraId="0000006B">
            <w:pPr>
              <w:rPr>
                <w:sz w:val="22"/>
                <w:szCs w:val="22"/>
              </w:rPr>
            </w:pPr>
            <w:r w:rsidDel="00000000" w:rsidR="00000000" w:rsidRPr="00000000">
              <w:rPr>
                <w:sz w:val="22"/>
                <w:szCs w:val="22"/>
                <w:rtl w:val="0"/>
              </w:rPr>
              <w:t xml:space="preserve">11 août 2025 – Lancement du manuel</w:t>
            </w:r>
          </w:p>
          <w:p w:rsidR="00000000" w:rsidDel="00000000" w:rsidP="00000000" w:rsidRDefault="00000000" w:rsidRPr="00000000" w14:paraId="0000006C">
            <w:pPr>
              <w:rPr>
                <w:sz w:val="22"/>
                <w:szCs w:val="22"/>
              </w:rPr>
            </w:pPr>
            <w:r w:rsidDel="00000000" w:rsidR="00000000" w:rsidRPr="00000000">
              <w:rPr>
                <w:rtl w:val="0"/>
              </w:rPr>
            </w:r>
          </w:p>
          <w:p w:rsidR="00000000" w:rsidDel="00000000" w:rsidP="00000000" w:rsidRDefault="00000000" w:rsidRPr="00000000" w14:paraId="0000006D">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31 juillet 2025 – </w:t>
            </w:r>
            <w:hyperlink r:id="rId14">
              <w:r w:rsidDel="00000000" w:rsidR="00000000" w:rsidRPr="00000000">
                <w:rPr>
                  <w:rFonts w:ascii="Gotham" w:cs="Gotham" w:eastAsia="Gotham" w:hAnsi="Gotham"/>
                  <w:color w:val="1155cc"/>
                  <w:sz w:val="22"/>
                  <w:szCs w:val="22"/>
                  <w:u w:val="single"/>
                  <w:rtl w:val="0"/>
                </w:rPr>
                <w:t xml:space="preserve">Politique sur le site Web,</w:t>
              </w:r>
            </w:hyperlink>
            <w:r w:rsidDel="00000000" w:rsidR="00000000" w:rsidRPr="00000000">
              <w:rPr>
                <w:rFonts w:ascii="Gotham" w:cs="Gotham" w:eastAsia="Gotham" w:hAnsi="Gotham"/>
                <w:sz w:val="22"/>
                <w:szCs w:val="22"/>
                <w:rtl w:val="0"/>
              </w:rPr>
              <w:t xml:space="preserve"> mise à jour le 28 août 2025</w:t>
            </w:r>
          </w:p>
          <w:p w:rsidR="00000000" w:rsidDel="00000000" w:rsidP="00000000" w:rsidRDefault="00000000" w:rsidRPr="00000000" w14:paraId="0000006E">
            <w:pPr>
              <w:rPr>
                <w:sz w:val="22"/>
                <w:szCs w:val="22"/>
              </w:rPr>
            </w:pPr>
            <w:r w:rsidDel="00000000" w:rsidR="00000000" w:rsidRPr="00000000">
              <w:rPr>
                <w:rtl w:val="0"/>
              </w:rPr>
            </w:r>
          </w:p>
          <w:p w:rsidR="00000000" w:rsidDel="00000000" w:rsidP="00000000" w:rsidRDefault="00000000" w:rsidRPr="00000000" w14:paraId="0000006F">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70">
            <w:pPr>
              <w:rPr>
                <w:rFonts w:ascii="Gotham" w:cs="Gotham" w:eastAsia="Gotham" w:hAnsi="Gotham"/>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tham" w:cs="Gotham" w:eastAsia="Gotham" w:hAnsi="Gotham"/>
                <w:sz w:val="22"/>
                <w:szCs w:val="22"/>
              </w:rPr>
            </w:pPr>
            <w:r w:rsidDel="00000000" w:rsidR="00000000" w:rsidRPr="00000000">
              <w:rPr>
                <w:rtl w:val="0"/>
              </w:rPr>
            </w:r>
          </w:p>
        </w:tc>
        <w:tc>
          <w:tcPr>
            <w:shd w:fill="auto" w:val="clear"/>
          </w:tcPr>
          <w:p w:rsidR="00000000" w:rsidDel="00000000" w:rsidP="00000000" w:rsidRDefault="00000000" w:rsidRPr="00000000" w14:paraId="00000072">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73">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(2) L’organisme assujetti consulte la personne qui présente la demande pour déterminer la pertinence d’un format accessible ou d’un support de communication.</w:t>
            </w:r>
          </w:p>
        </w:tc>
        <w:tc>
          <w:tcPr>
            <w:shd w:fill="auto" w:val="clear"/>
          </w:tcPr>
          <w:p w:rsidR="00000000" w:rsidDel="00000000" w:rsidP="00000000" w:rsidRDefault="00000000" w:rsidRPr="00000000" w14:paraId="00000074">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75">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Identifié dans le manuel.</w:t>
            </w:r>
          </w:p>
          <w:p w:rsidR="00000000" w:rsidDel="00000000" w:rsidP="00000000" w:rsidRDefault="00000000" w:rsidRPr="00000000" w14:paraId="00000076">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77">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Identifié dans </w:t>
            </w:r>
            <w:hyperlink r:id="rId15">
              <w:r w:rsidDel="00000000" w:rsidR="00000000" w:rsidRPr="00000000">
                <w:rPr>
                  <w:rFonts w:ascii="Gotham" w:cs="Gotham" w:eastAsia="Gotham" w:hAnsi="Gotham"/>
                  <w:color w:val="1155cc"/>
                  <w:sz w:val="22"/>
                  <w:szCs w:val="22"/>
                  <w:u w:val="single"/>
                  <w:rtl w:val="0"/>
                </w:rPr>
                <w:t xml:space="preserve">la politique sur le site Web.</w:t>
              </w:r>
            </w:hyperlink>
            <w:r w:rsidDel="00000000" w:rsidR="00000000" w:rsidRPr="00000000">
              <w:rPr>
                <w:rFonts w:ascii="Gotham" w:cs="Gotham" w:eastAsia="Gotham" w:hAnsi="Gotham"/>
                <w:sz w:val="22"/>
                <w:szCs w:val="22"/>
                <w:rtl w:val="0"/>
              </w:rPr>
              <w:t xml:space="preserve"> </w:t>
            </w:r>
            <w:hyperlink r:id="rId16">
              <w:r w:rsidDel="00000000" w:rsidR="00000000" w:rsidRPr="00000000">
                <w:rPr>
                  <w:rFonts w:ascii="Gotham" w:cs="Gotham" w:eastAsia="Gotham" w:hAnsi="Gotham"/>
                  <w:color w:val="1155cc"/>
                  <w:sz w:val="22"/>
                  <w:szCs w:val="22"/>
                  <w:u w:val="single"/>
                  <w:rtl w:val="0"/>
                </w:rPr>
                <w:t xml:space="preserve">LAPHO</w:t>
              </w:r>
            </w:hyperlink>
            <w:r w:rsidDel="00000000" w:rsidR="00000000" w:rsidRPr="00000000">
              <w:rPr>
                <w:rtl w:val="0"/>
              </w:rPr>
            </w:r>
          </w:p>
          <w:p w:rsidR="00000000" w:rsidDel="00000000" w:rsidP="00000000" w:rsidRDefault="00000000" w:rsidRPr="00000000" w14:paraId="00000078">
            <w:pPr>
              <w:rPr>
                <w:rFonts w:ascii="Gotham" w:cs="Gotham" w:eastAsia="Gotham" w:hAnsi="Gotham"/>
                <w:sz w:val="22"/>
                <w:szCs w:val="22"/>
              </w:rPr>
            </w:pPr>
            <w:r w:rsidDel="00000000" w:rsidR="00000000" w:rsidRPr="00000000">
              <w:rPr>
                <w:rtl w:val="0"/>
              </w:rPr>
            </w:r>
          </w:p>
        </w:tc>
        <w:tc>
          <w:tcPr>
            <w:shd w:fill="auto" w:val="clear"/>
          </w:tcPr>
          <w:p w:rsidR="00000000" w:rsidDel="00000000" w:rsidP="00000000" w:rsidRDefault="00000000" w:rsidRPr="00000000" w14:paraId="00000079">
            <w:pPr>
              <w:rPr>
                <w:rFonts w:ascii="Gotham" w:cs="Gotham" w:eastAsia="Gotham" w:hAnsi="Gotham"/>
                <w:sz w:val="22"/>
                <w:szCs w:val="22"/>
              </w:rPr>
            </w:pPr>
            <w:r w:rsidDel="00000000" w:rsidR="00000000" w:rsidRPr="00000000">
              <w:rPr>
                <w:sz w:val="22"/>
                <w:szCs w:val="22"/>
                <w:rtl w:val="0"/>
              </w:rPr>
              <w:t xml:space="preserve">11 août 2025 – Lancement du manuel</w:t>
            </w:r>
            <w:r w:rsidDel="00000000" w:rsidR="00000000" w:rsidRPr="00000000">
              <w:rPr>
                <w:rtl w:val="0"/>
              </w:rPr>
            </w:r>
          </w:p>
          <w:p w:rsidR="00000000" w:rsidDel="00000000" w:rsidP="00000000" w:rsidRDefault="00000000" w:rsidRPr="00000000" w14:paraId="0000007A">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7B">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31 juillet 2025 – </w:t>
            </w:r>
            <w:hyperlink r:id="rId17">
              <w:r w:rsidDel="00000000" w:rsidR="00000000" w:rsidRPr="00000000">
                <w:rPr>
                  <w:rFonts w:ascii="Gotham" w:cs="Gotham" w:eastAsia="Gotham" w:hAnsi="Gotham"/>
                  <w:color w:val="1155cc"/>
                  <w:sz w:val="22"/>
                  <w:szCs w:val="22"/>
                  <w:u w:val="single"/>
                  <w:rtl w:val="0"/>
                </w:rPr>
                <w:t xml:space="preserve">Politique sur le site Web,</w:t>
              </w:r>
            </w:hyperlink>
            <w:r w:rsidDel="00000000" w:rsidR="00000000" w:rsidRPr="00000000">
              <w:rPr>
                <w:rFonts w:ascii="Gotham" w:cs="Gotham" w:eastAsia="Gotham" w:hAnsi="Gotham"/>
                <w:sz w:val="22"/>
                <w:szCs w:val="22"/>
                <w:rtl w:val="0"/>
              </w:rPr>
              <w:t xml:space="preserve"> mise à jour le 28 août 2025</w:t>
            </w:r>
          </w:p>
          <w:p w:rsidR="00000000" w:rsidDel="00000000" w:rsidP="00000000" w:rsidRDefault="00000000" w:rsidRPr="00000000" w14:paraId="0000007C">
            <w:pPr>
              <w:rPr>
                <w:rFonts w:ascii="Gotham" w:cs="Gotham" w:eastAsia="Gotham" w:hAnsi="Gotham"/>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tham" w:cs="Gotham" w:eastAsia="Gotham" w:hAnsi="Gotham"/>
                <w:sz w:val="22"/>
                <w:szCs w:val="22"/>
              </w:rPr>
            </w:pPr>
            <w:r w:rsidDel="00000000" w:rsidR="00000000" w:rsidRPr="00000000">
              <w:rPr>
                <w:rtl w:val="0"/>
              </w:rPr>
            </w:r>
          </w:p>
        </w:tc>
        <w:tc>
          <w:tcPr/>
          <w:p w:rsidR="00000000" w:rsidDel="00000000" w:rsidP="00000000" w:rsidRDefault="00000000" w:rsidRPr="00000000" w14:paraId="0000007E">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(3) Toute organisation assujettie doit informer le public de la disponibilité de formats et de supports de communication accessibles.</w:t>
            </w:r>
          </w:p>
        </w:tc>
        <w:tc>
          <w:tcPr/>
          <w:p w:rsidR="00000000" w:rsidDel="00000000" w:rsidP="00000000" w:rsidRDefault="00000000" w:rsidRPr="00000000" w14:paraId="0000007F">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Identifié dans </w:t>
            </w:r>
            <w:hyperlink r:id="rId18">
              <w:r w:rsidDel="00000000" w:rsidR="00000000" w:rsidRPr="00000000">
                <w:rPr>
                  <w:rFonts w:ascii="Gotham" w:cs="Gotham" w:eastAsia="Gotham" w:hAnsi="Gotham"/>
                  <w:color w:val="1155cc"/>
                  <w:sz w:val="22"/>
                  <w:szCs w:val="22"/>
                  <w:u w:val="single"/>
                  <w:rtl w:val="0"/>
                </w:rPr>
                <w:t xml:space="preserve">la politique sur le site Web.</w:t>
              </w:r>
            </w:hyperlink>
            <w:r w:rsidDel="00000000" w:rsidR="00000000" w:rsidRPr="00000000">
              <w:rPr>
                <w:rFonts w:ascii="Gotham" w:cs="Gotham" w:eastAsia="Gotham" w:hAnsi="Gotham"/>
                <w:sz w:val="22"/>
                <w:szCs w:val="22"/>
                <w:rtl w:val="0"/>
              </w:rPr>
              <w:t xml:space="preserve"> </w:t>
            </w:r>
            <w:hyperlink r:id="rId19">
              <w:r w:rsidDel="00000000" w:rsidR="00000000" w:rsidRPr="00000000">
                <w:rPr>
                  <w:rFonts w:ascii="Gotham" w:cs="Gotham" w:eastAsia="Gotham" w:hAnsi="Gotham"/>
                  <w:color w:val="1155cc"/>
                  <w:sz w:val="22"/>
                  <w:szCs w:val="22"/>
                  <w:u w:val="single"/>
                  <w:rtl w:val="0"/>
                </w:rPr>
                <w:t xml:space="preserve">LAPHO</w:t>
              </w:r>
            </w:hyperlink>
            <w:r w:rsidDel="00000000" w:rsidR="00000000" w:rsidRPr="00000000">
              <w:rPr>
                <w:rtl w:val="0"/>
              </w:rPr>
            </w:r>
          </w:p>
        </w:tc>
        <w:tc>
          <w:tcPr/>
          <w:p w:rsidR="00000000" w:rsidDel="00000000" w:rsidP="00000000" w:rsidRDefault="00000000" w:rsidRPr="00000000" w14:paraId="00000080">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31 juillet 2025 – </w:t>
            </w:r>
            <w:hyperlink r:id="rId20">
              <w:r w:rsidDel="00000000" w:rsidR="00000000" w:rsidRPr="00000000">
                <w:rPr>
                  <w:rFonts w:ascii="Gotham" w:cs="Gotham" w:eastAsia="Gotham" w:hAnsi="Gotham"/>
                  <w:color w:val="1155cc"/>
                  <w:sz w:val="22"/>
                  <w:szCs w:val="22"/>
                  <w:u w:val="single"/>
                  <w:rtl w:val="0"/>
                </w:rPr>
                <w:t xml:space="preserve">Politique sur le site Web,</w:t>
              </w:r>
            </w:hyperlink>
            <w:r w:rsidDel="00000000" w:rsidR="00000000" w:rsidRPr="00000000">
              <w:rPr>
                <w:rFonts w:ascii="Gotham" w:cs="Gotham" w:eastAsia="Gotham" w:hAnsi="Gotham"/>
                <w:sz w:val="22"/>
                <w:szCs w:val="22"/>
                <w:rtl w:val="0"/>
              </w:rPr>
              <w:t xml:space="preserve"> mise à jour le 28 août 2025</w:t>
            </w:r>
          </w:p>
        </w:tc>
      </w:tr>
      <w:tr>
        <w:trPr>
          <w:cantSplit w:val="0"/>
          <w:tblHeader w:val="0"/>
        </w:trPr>
        <w:tc>
          <w:tcPr/>
          <w:p w:rsidR="00000000" w:rsidDel="00000000" w:rsidP="00000000" w:rsidRDefault="00000000" w:rsidRPr="00000000" w14:paraId="00000081">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82">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83">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84">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85">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Procédures d'urgence, plans ou informations sur la sécurité publique</w:t>
            </w:r>
          </w:p>
        </w:tc>
        <w:tc>
          <w:tcPr/>
          <w:p w:rsidR="00000000" w:rsidDel="00000000" w:rsidP="00000000" w:rsidRDefault="00000000" w:rsidRPr="00000000" w14:paraId="00000086">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13.(1) En plus de ses obligations en vertu de l’article 12, si une organisation assujettie prépare des procédures d’urgence, des plans ou des renseignements sur la sécurité publique et met ces renseignements à la disposition du public, elle doit fournir ces renseignements dans un format accessible ou avec des supports de communication appropriés, dès que possible, sur demande.</w:t>
            </w:r>
          </w:p>
        </w:tc>
        <w:tc>
          <w:tcPr/>
          <w:p w:rsidR="00000000" w:rsidDel="00000000" w:rsidP="00000000" w:rsidRDefault="00000000" w:rsidRPr="00000000" w14:paraId="00000087">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Identifié dans le manuel de politique et le programme de santé et de sécurité.</w:t>
            </w:r>
          </w:p>
          <w:p w:rsidR="00000000" w:rsidDel="00000000" w:rsidP="00000000" w:rsidRDefault="00000000" w:rsidRPr="00000000" w14:paraId="00000088">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89">
            <w:pPr>
              <w:rPr>
                <w:rFonts w:ascii="Gotham" w:cs="Gotham" w:eastAsia="Gotham" w:hAnsi="Gotham"/>
                <w:sz w:val="22"/>
                <w:szCs w:val="22"/>
              </w:rPr>
            </w:pPr>
            <w:r w:rsidDel="00000000" w:rsidR="00000000" w:rsidRPr="00000000">
              <w:rPr>
                <w:rtl w:val="0"/>
              </w:rPr>
            </w:r>
          </w:p>
        </w:tc>
        <w:tc>
          <w:tcPr/>
          <w:p w:rsidR="00000000" w:rsidDel="00000000" w:rsidP="00000000" w:rsidRDefault="00000000" w:rsidRPr="00000000" w14:paraId="0000008A">
            <w:pPr>
              <w:rPr>
                <w:sz w:val="22"/>
                <w:szCs w:val="22"/>
              </w:rPr>
            </w:pPr>
            <w:r w:rsidDel="00000000" w:rsidR="00000000" w:rsidRPr="00000000">
              <w:rPr>
                <w:sz w:val="22"/>
                <w:szCs w:val="22"/>
                <w:rtl w:val="0"/>
              </w:rPr>
              <w:t xml:space="preserve">11 août 2025 – Lancement du manuel</w:t>
            </w:r>
          </w:p>
          <w:p w:rsidR="00000000" w:rsidDel="00000000" w:rsidP="00000000" w:rsidRDefault="00000000" w:rsidRPr="00000000" w14:paraId="0000008B">
            <w:pPr>
              <w:rPr>
                <w:sz w:val="22"/>
                <w:szCs w:val="22"/>
              </w:rPr>
            </w:pPr>
            <w:r w:rsidDel="00000000" w:rsidR="00000000" w:rsidRPr="00000000">
              <w:rPr>
                <w:rtl w:val="0"/>
              </w:rPr>
            </w:r>
          </w:p>
          <w:p w:rsidR="00000000" w:rsidDel="00000000" w:rsidP="00000000" w:rsidRDefault="00000000" w:rsidRPr="00000000" w14:paraId="0000008C">
            <w:pPr>
              <w:rPr>
                <w:rFonts w:ascii="Gotham" w:cs="Gotham" w:eastAsia="Gotham" w:hAnsi="Gotham"/>
                <w:sz w:val="22"/>
                <w:szCs w:val="22"/>
              </w:rPr>
            </w:pPr>
            <w:r w:rsidDel="00000000" w:rsidR="00000000" w:rsidRPr="00000000">
              <w:rPr>
                <w:sz w:val="22"/>
                <w:szCs w:val="22"/>
                <w:rtl w:val="0"/>
              </w:rPr>
              <w:t xml:space="preserve">Déploiement du programme santé et de sécurité à déterminer.</w:t>
            </w:r>
            <w:r w:rsidDel="00000000" w:rsidR="00000000" w:rsidRPr="00000000">
              <w:rPr>
                <w:rtl w:val="0"/>
              </w:rPr>
            </w:r>
          </w:p>
          <w:p w:rsidR="00000000" w:rsidDel="00000000" w:rsidP="00000000" w:rsidRDefault="00000000" w:rsidRPr="00000000" w14:paraId="0000008D">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8E">
            <w:pPr>
              <w:rPr>
                <w:rFonts w:ascii="Gotham" w:cs="Gotham" w:eastAsia="Gotham" w:hAnsi="Gotham"/>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8F">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Sites Web et contenu Web accessibles</w:t>
            </w:r>
          </w:p>
        </w:tc>
        <w:tc>
          <w:tcPr/>
          <w:p w:rsidR="00000000" w:rsidDel="00000000" w:rsidP="00000000" w:rsidRDefault="00000000" w:rsidRPr="00000000" w14:paraId="00000090">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14.(2) Les organisations désignées du secteur public et les grandes organisations doivent rendre leurs sites Web et leur contenu Web conformes aux Règles pour l'accessibilité du contenu Web (WCAG) 2.0 du World Wide Web Consortium, initialement au niveau A puis au niveau AA, et doivent le faire conformément au calendrier établi dans la présente section.</w:t>
            </w:r>
          </w:p>
        </w:tc>
        <w:tc>
          <w:tcPr/>
          <w:p w:rsidR="00000000" w:rsidDel="00000000" w:rsidP="00000000" w:rsidRDefault="00000000" w:rsidRPr="00000000" w14:paraId="00000091">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Le site Web de LZB répond aux exigences WCAG 2.1 AA</w:t>
            </w:r>
          </w:p>
        </w:tc>
        <w:tc>
          <w:tcPr/>
          <w:p w:rsidR="00000000" w:rsidDel="00000000" w:rsidP="00000000" w:rsidRDefault="00000000" w:rsidRPr="00000000" w14:paraId="00000092">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26 juillet 2025</w:t>
            </w:r>
          </w:p>
          <w:p w:rsidR="00000000" w:rsidDel="00000000" w:rsidP="00000000" w:rsidRDefault="00000000" w:rsidRPr="00000000" w14:paraId="00000093">
            <w:pPr>
              <w:rPr>
                <w:rFonts w:ascii="Gotham" w:cs="Gotham" w:eastAsia="Gotham" w:hAnsi="Gotham"/>
                <w:sz w:val="22"/>
                <w:szCs w:val="22"/>
              </w:rPr>
            </w:pPr>
            <w:r w:rsidDel="00000000" w:rsidR="00000000" w:rsidRPr="00000000">
              <w:rPr>
                <w:rtl w:val="0"/>
              </w:rPr>
            </w:r>
          </w:p>
        </w:tc>
      </w:tr>
    </w:tbl>
    <w:p w:rsidR="00000000" w:rsidDel="00000000" w:rsidP="00000000" w:rsidRDefault="00000000" w:rsidRPr="00000000" w14:paraId="00000094">
      <w:pPr>
        <w:keepNext w:val="1"/>
        <w:keepLines w:val="1"/>
        <w:pBdr>
          <w:top w:space="0" w:sz="0" w:val="nil"/>
          <w:left w:space="0" w:sz="0" w:val="nil"/>
          <w:bottom w:space="0" w:sz="0" w:val="nil"/>
          <w:right w:space="0" w:sz="0" w:val="nil"/>
          <w:between w:space="0" w:sz="0" w:val="nil"/>
        </w:pBdr>
        <w:spacing w:after="0" w:lineRule="auto"/>
        <w:jc w:val="both"/>
        <w:rPr>
          <w:rFonts w:ascii="Gotham" w:cs="Gotham" w:eastAsia="Gotham" w:hAnsi="Gotham"/>
          <w:color w:val="000000"/>
          <w:sz w:val="22"/>
          <w:szCs w:val="22"/>
        </w:rPr>
      </w:pPr>
      <w:r w:rsidDel="00000000" w:rsidR="00000000" w:rsidRPr="00000000">
        <w:rPr>
          <w:rtl w:val="0"/>
        </w:rPr>
      </w:r>
    </w:p>
    <w:p w:rsidR="00000000" w:rsidDel="00000000" w:rsidP="00000000" w:rsidRDefault="00000000" w:rsidRPr="00000000" w14:paraId="00000095">
      <w:pPr>
        <w:pStyle w:val="Heading3"/>
        <w:rPr>
          <w:color w:val="000000"/>
        </w:rPr>
      </w:pPr>
      <w:r w:rsidDel="00000000" w:rsidR="00000000" w:rsidRPr="00000000">
        <w:rPr>
          <w:rtl w:val="0"/>
        </w:rPr>
        <w:t xml:space="preserve">PARTIE III – Normes d'emploi</w:t>
      </w:r>
      <w:r w:rsidDel="00000000" w:rsidR="00000000" w:rsidRPr="00000000">
        <w:rPr>
          <w:rtl w:val="0"/>
        </w:rPr>
      </w:r>
    </w:p>
    <w:tbl>
      <w:tblPr>
        <w:tblStyle w:val="Table3"/>
        <w:tblW w:w="1083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2041"/>
        <w:gridCol w:w="4974"/>
        <w:gridCol w:w="2304"/>
        <w:gridCol w:w="1511"/>
        <w:tblGridChange w:id="0">
          <w:tblGrid>
            <w:gridCol w:w="2041"/>
            <w:gridCol w:w="4974"/>
            <w:gridCol w:w="2304"/>
            <w:gridCol w:w="1511"/>
          </w:tblGrid>
        </w:tblGridChange>
      </w:tblGrid>
      <w:tr>
        <w:trPr>
          <w:cantSplit w:val="0"/>
          <w:trHeight w:val="264" w:hRule="atLeast"/>
          <w:tblHeader w:val="0"/>
        </w:trPr>
        <w:tc>
          <w:tcPr/>
          <w:p w:rsidR="00000000" w:rsidDel="00000000" w:rsidP="00000000" w:rsidRDefault="00000000" w:rsidRPr="00000000" w14:paraId="00000096">
            <w:pPr>
              <w:jc w:val="center"/>
              <w:rPr>
                <w:rFonts w:ascii="Gotham" w:cs="Gotham" w:eastAsia="Gotham" w:hAnsi="Gotham"/>
                <w:sz w:val="22"/>
                <w:szCs w:val="22"/>
              </w:rPr>
            </w:pPr>
            <w:r w:rsidDel="00000000" w:rsidR="00000000" w:rsidRPr="00000000">
              <w:rPr>
                <w:rFonts w:ascii="Gotham" w:cs="Gotham" w:eastAsia="Gotham" w:hAnsi="Gotham"/>
                <w:b w:val="0"/>
                <w:sz w:val="22"/>
                <w:szCs w:val="22"/>
                <w:rtl w:val="0"/>
              </w:rPr>
              <w:t xml:space="preserve">Initiative</w:t>
            </w:r>
            <w:r w:rsidDel="00000000" w:rsidR="00000000" w:rsidRPr="00000000">
              <w:rPr>
                <w:rtl w:val="0"/>
              </w:rPr>
            </w:r>
          </w:p>
        </w:tc>
        <w:tc>
          <w:tcPr/>
          <w:p w:rsidR="00000000" w:rsidDel="00000000" w:rsidP="00000000" w:rsidRDefault="00000000" w:rsidRPr="00000000" w14:paraId="00000097">
            <w:pPr>
              <w:jc w:val="center"/>
              <w:rPr>
                <w:rFonts w:ascii="Gotham" w:cs="Gotham" w:eastAsia="Gotham" w:hAnsi="Gotham"/>
                <w:sz w:val="22"/>
                <w:szCs w:val="22"/>
              </w:rPr>
            </w:pPr>
            <w:r w:rsidDel="00000000" w:rsidR="00000000" w:rsidRPr="00000000">
              <w:rPr>
                <w:rFonts w:ascii="Gotham" w:cs="Gotham" w:eastAsia="Gotham" w:hAnsi="Gotham"/>
                <w:b w:val="0"/>
                <w:sz w:val="22"/>
                <w:szCs w:val="22"/>
                <w:rtl w:val="0"/>
              </w:rPr>
              <w:t xml:space="preserve">Description</w:t>
            </w:r>
            <w:r w:rsidDel="00000000" w:rsidR="00000000" w:rsidRPr="00000000">
              <w:rPr>
                <w:rtl w:val="0"/>
              </w:rPr>
            </w:r>
          </w:p>
        </w:tc>
        <w:tc>
          <w:tcPr/>
          <w:p w:rsidR="00000000" w:rsidDel="00000000" w:rsidP="00000000" w:rsidRDefault="00000000" w:rsidRPr="00000000" w14:paraId="00000098">
            <w:pPr>
              <w:jc w:val="center"/>
              <w:rPr>
                <w:rFonts w:ascii="Gotham" w:cs="Gotham" w:eastAsia="Gotham" w:hAnsi="Gotham"/>
                <w:sz w:val="22"/>
                <w:szCs w:val="22"/>
              </w:rPr>
            </w:pPr>
            <w:r w:rsidDel="00000000" w:rsidR="00000000" w:rsidRPr="00000000">
              <w:rPr>
                <w:rFonts w:ascii="Gotham" w:cs="Gotham" w:eastAsia="Gotham" w:hAnsi="Gotham"/>
                <w:b w:val="0"/>
                <w:sz w:val="22"/>
                <w:szCs w:val="22"/>
                <w:rtl w:val="0"/>
              </w:rPr>
              <w:t xml:space="preserve">Action</w:t>
            </w:r>
            <w:r w:rsidDel="00000000" w:rsidR="00000000" w:rsidRPr="00000000">
              <w:rPr>
                <w:rtl w:val="0"/>
              </w:rPr>
            </w:r>
          </w:p>
        </w:tc>
        <w:tc>
          <w:tcPr/>
          <w:p w:rsidR="00000000" w:rsidDel="00000000" w:rsidP="00000000" w:rsidRDefault="00000000" w:rsidRPr="00000000" w14:paraId="00000099">
            <w:pPr>
              <w:jc w:val="center"/>
              <w:rPr>
                <w:rFonts w:ascii="Gotham" w:cs="Gotham" w:eastAsia="Gotham" w:hAnsi="Gotham"/>
                <w:sz w:val="22"/>
                <w:szCs w:val="22"/>
              </w:rPr>
            </w:pPr>
            <w:r w:rsidDel="00000000" w:rsidR="00000000" w:rsidRPr="00000000">
              <w:rPr>
                <w:rFonts w:ascii="Gotham" w:cs="Gotham" w:eastAsia="Gotham" w:hAnsi="Gotham"/>
                <w:b w:val="0"/>
                <w:sz w:val="22"/>
                <w:szCs w:val="22"/>
                <w:rtl w:val="0"/>
              </w:rPr>
              <w:t xml:space="preserve">Date de conformité - LAPHO</w:t>
            </w:r>
            <w:r w:rsidDel="00000000" w:rsidR="00000000" w:rsidRPr="00000000">
              <w:rPr>
                <w:rtl w:val="0"/>
              </w:rPr>
            </w:r>
          </w:p>
        </w:tc>
      </w:tr>
      <w:tr>
        <w:trPr>
          <w:cantSplit w:val="0"/>
          <w:tblHeader w:val="0"/>
        </w:trPr>
        <w:tc>
          <w:tcPr/>
          <w:p w:rsidR="00000000" w:rsidDel="00000000" w:rsidP="00000000" w:rsidRDefault="00000000" w:rsidRPr="00000000" w14:paraId="0000009A">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9B">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9C">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Recrutement – Général</w:t>
            </w:r>
          </w:p>
        </w:tc>
        <w:tc>
          <w:tcPr/>
          <w:p w:rsidR="00000000" w:rsidDel="00000000" w:rsidP="00000000" w:rsidRDefault="00000000" w:rsidRPr="00000000" w14:paraId="0000009D">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22. Tout employeur doit informer ses employés et le public de la disponibilité de mesures d’adaptation pour les candidats handicapés dans le cadre de ses processus de recrutement.</w:t>
            </w:r>
          </w:p>
        </w:tc>
        <w:tc>
          <w:tcPr/>
          <w:p w:rsidR="00000000" w:rsidDel="00000000" w:rsidP="00000000" w:rsidRDefault="00000000" w:rsidRPr="00000000" w14:paraId="0000009E">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Identifié dans les offres d'emploi de tous les employés et candidats (indeed, LinkedIn, site de l'entreprise)</w:t>
            </w:r>
          </w:p>
        </w:tc>
        <w:tc>
          <w:tcPr/>
          <w:p w:rsidR="00000000" w:rsidDel="00000000" w:rsidP="00000000" w:rsidRDefault="00000000" w:rsidRPr="00000000" w14:paraId="0000009F">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10 avril 2025</w:t>
            </w:r>
          </w:p>
        </w:tc>
      </w:tr>
      <w:tr>
        <w:trPr>
          <w:cantSplit w:val="0"/>
          <w:tblHeader w:val="0"/>
        </w:trPr>
        <w:tc>
          <w:tcPr/>
          <w:p w:rsidR="00000000" w:rsidDel="00000000" w:rsidP="00000000" w:rsidRDefault="00000000" w:rsidRPr="00000000" w14:paraId="000000A0">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A1">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A2">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A3">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A4">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A5">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A6">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Processus de recrutement, d'évaluation ou de sélection</w:t>
            </w:r>
          </w:p>
        </w:tc>
        <w:tc>
          <w:tcPr/>
          <w:p w:rsidR="00000000" w:rsidDel="00000000" w:rsidP="00000000" w:rsidRDefault="00000000" w:rsidRPr="00000000" w14:paraId="000000A7">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23.(1) Au cours d'un processus de recrutement, l'employeur doit informer les candidats à un emploi, lorsqu'ils sont sélectionnés individuellement pour participer à un processus d'évaluation ou de sélection, que des aménagements sont disponibles sur demande en ce qui concerne les matériaux ou les processus à utiliser. </w:t>
              <w:br w:type="textWrapping"/>
              <w:t xml:space="preserve">(2) Si un candidat sélectionné demande un aménagement, l'employeur doit consulter le candidat et fournir ou faire fournir un aménagement approprié d'une manière qui tient compte des besoins d'accessibilité du candidat en raison de son handicap.</w:t>
            </w:r>
          </w:p>
        </w:tc>
        <w:tc>
          <w:tcPr/>
          <w:p w:rsidR="00000000" w:rsidDel="00000000" w:rsidP="00000000" w:rsidRDefault="00000000" w:rsidRPr="00000000" w14:paraId="000000A8">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Identifié dans les offres d'emploi de tous les employés et candidats (indeed, LinkedIn, site de l'entreprise)</w:t>
            </w:r>
          </w:p>
          <w:p w:rsidR="00000000" w:rsidDel="00000000" w:rsidP="00000000" w:rsidRDefault="00000000" w:rsidRPr="00000000" w14:paraId="000000A9">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AA">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Identifié dans le manuel et la formation des gestionnaires</w:t>
            </w:r>
          </w:p>
        </w:tc>
        <w:tc>
          <w:tcPr/>
          <w:p w:rsidR="00000000" w:rsidDel="00000000" w:rsidP="00000000" w:rsidRDefault="00000000" w:rsidRPr="00000000" w14:paraId="000000AB">
            <w:pPr>
              <w:rPr>
                <w:sz w:val="22"/>
                <w:szCs w:val="22"/>
              </w:rPr>
            </w:pPr>
            <w:r w:rsidDel="00000000" w:rsidR="00000000" w:rsidRPr="00000000">
              <w:rPr>
                <w:sz w:val="22"/>
                <w:szCs w:val="22"/>
                <w:rtl w:val="0"/>
              </w:rPr>
              <w:t xml:space="preserve">10 avril 2025</w:t>
            </w:r>
          </w:p>
          <w:p w:rsidR="00000000" w:rsidDel="00000000" w:rsidP="00000000" w:rsidRDefault="00000000" w:rsidRPr="00000000" w14:paraId="000000AC">
            <w:pPr>
              <w:rPr>
                <w:sz w:val="22"/>
                <w:szCs w:val="22"/>
              </w:rPr>
            </w:pPr>
            <w:r w:rsidDel="00000000" w:rsidR="00000000" w:rsidRPr="00000000">
              <w:rPr>
                <w:rtl w:val="0"/>
              </w:rPr>
            </w:r>
          </w:p>
          <w:p w:rsidR="00000000" w:rsidDel="00000000" w:rsidP="00000000" w:rsidRDefault="00000000" w:rsidRPr="00000000" w14:paraId="000000AD">
            <w:pPr>
              <w:rPr>
                <w:sz w:val="22"/>
                <w:szCs w:val="22"/>
              </w:rPr>
            </w:pPr>
            <w:r w:rsidDel="00000000" w:rsidR="00000000" w:rsidRPr="00000000">
              <w:rPr>
                <w:sz w:val="22"/>
                <w:szCs w:val="22"/>
                <w:rtl w:val="0"/>
              </w:rPr>
              <w:t xml:space="preserve">11 août 2025 – Lancement du manuel</w:t>
            </w:r>
          </w:p>
          <w:p w:rsidR="00000000" w:rsidDel="00000000" w:rsidP="00000000" w:rsidRDefault="00000000" w:rsidRPr="00000000" w14:paraId="000000AE">
            <w:pPr>
              <w:rPr>
                <w:sz w:val="22"/>
                <w:szCs w:val="22"/>
              </w:rPr>
            </w:pPr>
            <w:r w:rsidDel="00000000" w:rsidR="00000000" w:rsidRPr="00000000">
              <w:rPr>
                <w:rtl w:val="0"/>
              </w:rPr>
            </w:r>
          </w:p>
          <w:p w:rsidR="00000000" w:rsidDel="00000000" w:rsidP="00000000" w:rsidRDefault="00000000" w:rsidRPr="00000000" w14:paraId="000000AF">
            <w:pPr>
              <w:rPr>
                <w:rFonts w:ascii="Gotham" w:cs="Gotham" w:eastAsia="Gotham" w:hAnsi="Gotham"/>
                <w:sz w:val="22"/>
                <w:szCs w:val="22"/>
              </w:rPr>
            </w:pPr>
            <w:r w:rsidDel="00000000" w:rsidR="00000000" w:rsidRPr="00000000">
              <w:rPr>
                <w:sz w:val="22"/>
                <w:szCs w:val="22"/>
                <w:rtl w:val="0"/>
              </w:rPr>
              <w:t xml:space="preserve">Date à déterminer – Lancement du programme de formation et de recrutement des gestionnaires</w:t>
            </w:r>
            <w:r w:rsidDel="00000000" w:rsidR="00000000" w:rsidRPr="00000000">
              <w:rPr>
                <w:rtl w:val="0"/>
              </w:rPr>
            </w:r>
          </w:p>
          <w:p w:rsidR="00000000" w:rsidDel="00000000" w:rsidP="00000000" w:rsidRDefault="00000000" w:rsidRPr="00000000" w14:paraId="000000B0">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B1">
            <w:pPr>
              <w:rPr>
                <w:rFonts w:ascii="Gotham" w:cs="Gotham" w:eastAsia="Gotham" w:hAnsi="Gotham"/>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B2">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B3">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B4">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Avis aux candidats retenus</w:t>
            </w:r>
          </w:p>
        </w:tc>
        <w:tc>
          <w:tcPr/>
          <w:p w:rsidR="00000000" w:rsidDel="00000000" w:rsidP="00000000" w:rsidRDefault="00000000" w:rsidRPr="00000000" w14:paraId="000000B5">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24. Tout employeur doit, lorsqu’il fait une offre d’emploi, informer le candidat retenu de ses politiques d’adaptation aux employés handicapés.</w:t>
            </w:r>
          </w:p>
        </w:tc>
        <w:tc>
          <w:tcPr/>
          <w:p w:rsidR="00000000" w:rsidDel="00000000" w:rsidP="00000000" w:rsidRDefault="00000000" w:rsidRPr="00000000" w14:paraId="000000B6">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Identifié dans les offres d'emploi, la lettre d'offre et le processus d'intégration</w:t>
            </w:r>
          </w:p>
          <w:p w:rsidR="00000000" w:rsidDel="00000000" w:rsidP="00000000" w:rsidRDefault="00000000" w:rsidRPr="00000000" w14:paraId="000000B7">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B8">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Identifié dans le manuel</w:t>
            </w:r>
          </w:p>
        </w:tc>
        <w:tc>
          <w:tcPr/>
          <w:p w:rsidR="00000000" w:rsidDel="00000000" w:rsidP="00000000" w:rsidRDefault="00000000" w:rsidRPr="00000000" w14:paraId="000000B9">
            <w:pPr>
              <w:rPr>
                <w:sz w:val="22"/>
                <w:szCs w:val="22"/>
              </w:rPr>
            </w:pPr>
            <w:r w:rsidDel="00000000" w:rsidR="00000000" w:rsidRPr="00000000">
              <w:rPr>
                <w:sz w:val="22"/>
                <w:szCs w:val="22"/>
                <w:rtl w:val="0"/>
              </w:rPr>
              <w:br w:type="textWrapping"/>
              <w:t xml:space="preserve">10 avril 2025</w:t>
            </w:r>
          </w:p>
          <w:p w:rsidR="00000000" w:rsidDel="00000000" w:rsidP="00000000" w:rsidRDefault="00000000" w:rsidRPr="00000000" w14:paraId="000000BA">
            <w:pPr>
              <w:rPr>
                <w:sz w:val="22"/>
                <w:szCs w:val="22"/>
              </w:rPr>
            </w:pPr>
            <w:r w:rsidDel="00000000" w:rsidR="00000000" w:rsidRPr="00000000">
              <w:rPr>
                <w:rtl w:val="0"/>
              </w:rPr>
            </w:r>
          </w:p>
          <w:p w:rsidR="00000000" w:rsidDel="00000000" w:rsidP="00000000" w:rsidRDefault="00000000" w:rsidRPr="00000000" w14:paraId="000000BB">
            <w:pPr>
              <w:rPr>
                <w:rFonts w:ascii="Gotham" w:cs="Gotham" w:eastAsia="Gotham" w:hAnsi="Gotham"/>
                <w:sz w:val="22"/>
                <w:szCs w:val="22"/>
              </w:rPr>
            </w:pPr>
            <w:r w:rsidDel="00000000" w:rsidR="00000000" w:rsidRPr="00000000">
              <w:rPr>
                <w:sz w:val="22"/>
                <w:szCs w:val="22"/>
                <w:rtl w:val="0"/>
              </w:rPr>
              <w:t xml:space="preserve">11 août 2025 – Lancement du manuel</w:t>
            </w:r>
            <w:r w:rsidDel="00000000" w:rsidR="00000000" w:rsidRPr="00000000">
              <w:rPr>
                <w:rtl w:val="0"/>
              </w:rPr>
            </w:r>
          </w:p>
          <w:p w:rsidR="00000000" w:rsidDel="00000000" w:rsidP="00000000" w:rsidRDefault="00000000" w:rsidRPr="00000000" w14:paraId="000000BC">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BD">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BE">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BF">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C0">
            <w:pPr>
              <w:rPr>
                <w:rFonts w:ascii="Gotham" w:cs="Gotham" w:eastAsia="Gotham" w:hAnsi="Gotham"/>
                <w:sz w:val="22"/>
                <w:szCs w:val="22"/>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C1">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C2">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C3">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C4">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C5">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Informer les employés des soutiens</w:t>
            </w:r>
          </w:p>
        </w:tc>
        <w:tc>
          <w:tcPr/>
          <w:p w:rsidR="00000000" w:rsidDel="00000000" w:rsidP="00000000" w:rsidRDefault="00000000" w:rsidRPr="00000000" w14:paraId="000000C6">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25.</w:t>
            </w:r>
            <w:r w:rsidDel="00000000" w:rsidR="00000000" w:rsidRPr="00000000">
              <w:rPr>
                <w:rtl w:val="0"/>
              </w:rPr>
              <w:t xml:space="preserve"> </w:t>
            </w:r>
            <w:r w:rsidDel="00000000" w:rsidR="00000000" w:rsidRPr="00000000">
              <w:rPr>
                <w:rFonts w:ascii="Gotham" w:cs="Gotham" w:eastAsia="Gotham" w:hAnsi="Gotham"/>
                <w:sz w:val="22"/>
                <w:szCs w:val="22"/>
                <w:rtl w:val="0"/>
              </w:rPr>
              <w:t xml:space="preserve">Tout employeur doit informer ses employés de ses politiques utilisées pour soutenir ses employés handicapés, y compris, mais sans s'y limiter, les politiques sur la fourniture d'aménagements de travail qui tiennent compte des besoins d'accessibilité d'un employé en raison de son handicap.</w:t>
            </w:r>
          </w:p>
        </w:tc>
        <w:tc>
          <w:tcPr/>
          <w:p w:rsidR="00000000" w:rsidDel="00000000" w:rsidP="00000000" w:rsidRDefault="00000000" w:rsidRPr="00000000" w14:paraId="000000C7">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Les employés sont informés par le biais du manuel et de la formation LAPHO</w:t>
            </w:r>
          </w:p>
        </w:tc>
        <w:tc>
          <w:tcPr/>
          <w:p w:rsidR="00000000" w:rsidDel="00000000" w:rsidP="00000000" w:rsidRDefault="00000000" w:rsidRPr="00000000" w14:paraId="000000C8">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11 août 2025 – Lancement du manuel</w:t>
            </w:r>
          </w:p>
          <w:p w:rsidR="00000000" w:rsidDel="00000000" w:rsidP="00000000" w:rsidRDefault="00000000" w:rsidRPr="00000000" w14:paraId="000000C9">
            <w:pPr>
              <w:rPr>
                <w:rFonts w:ascii="Gotham" w:cs="Gotham" w:eastAsia="Gotham" w:hAnsi="Gotham"/>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tham" w:cs="Gotham" w:eastAsia="Gotham" w:hAnsi="Gotham"/>
                <w:sz w:val="22"/>
                <w:szCs w:val="22"/>
              </w:rPr>
            </w:pPr>
            <w:r w:rsidDel="00000000" w:rsidR="00000000" w:rsidRPr="00000000">
              <w:rPr>
                <w:rtl w:val="0"/>
              </w:rPr>
            </w:r>
          </w:p>
        </w:tc>
        <w:tc>
          <w:tcPr>
            <w:shd w:fill="auto" w:val="clear"/>
          </w:tcPr>
          <w:p w:rsidR="00000000" w:rsidDel="00000000" w:rsidP="00000000" w:rsidRDefault="00000000" w:rsidRPr="00000000" w14:paraId="000000CB">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(2) Les employeurs doivent fournir les renseignements exigés en vertu du présent article aux nouveaux employés dès que possible après leur entrée en fonction.</w:t>
            </w:r>
          </w:p>
        </w:tc>
        <w:tc>
          <w:tcPr>
            <w:shd w:fill="auto" w:val="clear"/>
          </w:tcPr>
          <w:p w:rsidR="00000000" w:rsidDel="00000000" w:rsidP="00000000" w:rsidRDefault="00000000" w:rsidRPr="00000000" w14:paraId="000000CC">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Les employés sont informés grâce à la formation relative à la LAPHO et au programme d’intégration.</w:t>
            </w:r>
          </w:p>
        </w:tc>
        <w:tc>
          <w:tcPr>
            <w:shd w:fill="auto" w:val="clear"/>
          </w:tcPr>
          <w:p w:rsidR="00000000" w:rsidDel="00000000" w:rsidP="00000000" w:rsidRDefault="00000000" w:rsidRPr="00000000" w14:paraId="000000CD">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11 août 2025 – Lancement du manuel</w:t>
            </w:r>
          </w:p>
          <w:p w:rsidR="00000000" w:rsidDel="00000000" w:rsidP="00000000" w:rsidRDefault="00000000" w:rsidRPr="00000000" w14:paraId="000000CE">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CF">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D0">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Date à déterminer – lancement du programme d'intégration</w:t>
            </w:r>
          </w:p>
          <w:p w:rsidR="00000000" w:rsidDel="00000000" w:rsidP="00000000" w:rsidRDefault="00000000" w:rsidRPr="00000000" w14:paraId="000000D1">
            <w:pPr>
              <w:rPr>
                <w:rFonts w:ascii="Gotham" w:cs="Gotham" w:eastAsia="Gotham" w:hAnsi="Gotham"/>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tham" w:cs="Gotham" w:eastAsia="Gotham" w:hAnsi="Gotham"/>
                <w:sz w:val="22"/>
                <w:szCs w:val="22"/>
              </w:rPr>
            </w:pPr>
            <w:r w:rsidDel="00000000" w:rsidR="00000000" w:rsidRPr="00000000">
              <w:rPr>
                <w:rtl w:val="0"/>
              </w:rPr>
            </w:r>
          </w:p>
        </w:tc>
        <w:tc>
          <w:tcPr>
            <w:shd w:fill="auto" w:val="clear"/>
          </w:tcPr>
          <w:p w:rsidR="00000000" w:rsidDel="00000000" w:rsidP="00000000" w:rsidRDefault="00000000" w:rsidRPr="00000000" w14:paraId="000000D3">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(3) Les employeurs doivent fournir des informations mises à jour à leurs employés chaque fois qu'un changement est apporté aux politiques existantes sur la fourniture d'aménagements de travail qui tiennent compte des besoins d'accessibilité d'un employé en raison d'un handicap.</w:t>
            </w:r>
          </w:p>
        </w:tc>
        <w:tc>
          <w:tcPr>
            <w:shd w:fill="auto" w:val="clear"/>
          </w:tcPr>
          <w:p w:rsidR="00000000" w:rsidDel="00000000" w:rsidP="00000000" w:rsidRDefault="00000000" w:rsidRPr="00000000" w14:paraId="000000D4">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Les employés sont informés des mises à jour grâce à la diffusion du manuel</w:t>
            </w:r>
          </w:p>
        </w:tc>
        <w:tc>
          <w:tcPr>
            <w:shd w:fill="auto" w:val="clear"/>
          </w:tcPr>
          <w:p w:rsidR="00000000" w:rsidDel="00000000" w:rsidP="00000000" w:rsidRDefault="00000000" w:rsidRPr="00000000" w14:paraId="000000D5">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11 août 2025 – Lancement du manuel</w:t>
            </w:r>
          </w:p>
          <w:p w:rsidR="00000000" w:rsidDel="00000000" w:rsidP="00000000" w:rsidRDefault="00000000" w:rsidRPr="00000000" w14:paraId="000000D6">
            <w:pPr>
              <w:rPr>
                <w:rFonts w:ascii="Gotham" w:cs="Gotham" w:eastAsia="Gotham" w:hAnsi="Gotham"/>
                <w:sz w:val="22"/>
                <w:szCs w:val="22"/>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D7">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D8">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D9">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DA">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DB">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DC">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DD">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Formats accessibles et supports de communication pour les employés</w:t>
            </w:r>
          </w:p>
        </w:tc>
        <w:tc>
          <w:tcPr>
            <w:shd w:fill="f3f3f3" w:val="clear"/>
          </w:tcPr>
          <w:p w:rsidR="00000000" w:rsidDel="00000000" w:rsidP="00000000" w:rsidRDefault="00000000" w:rsidRPr="00000000" w14:paraId="000000DE">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26.(1) En plus de ses obligations en vertu de l'article 12, lorsqu'un employé handicapé le demande, tout employeur doit consulter l'employé afin de fournir ou de faire fournir des formats accessibles et des aides à la communication pour,</w:t>
            </w:r>
          </w:p>
          <w:p w:rsidR="00000000" w:rsidDel="00000000" w:rsidP="00000000" w:rsidRDefault="00000000" w:rsidRPr="00000000" w14:paraId="000000DF">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E0">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(a) les renseignements nécessaires à l'exécution du travail de l'employé; et</w:t>
            </w:r>
          </w:p>
          <w:p w:rsidR="00000000" w:rsidDel="00000000" w:rsidP="00000000" w:rsidRDefault="00000000" w:rsidRPr="00000000" w14:paraId="000000E1">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E2">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(b) les renseignements qui sont généralement accessibles aux employés sur le lieu de travail.</w:t>
            </w:r>
          </w:p>
        </w:tc>
        <w:tc>
          <w:tcPr>
            <w:shd w:fill="f3f3f3" w:val="clear"/>
          </w:tcPr>
          <w:p w:rsidR="00000000" w:rsidDel="00000000" w:rsidP="00000000" w:rsidRDefault="00000000" w:rsidRPr="00000000" w14:paraId="000000E3">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Employés consultés lors de la détermination des formats accessibles appropriés pour (a) et (b)</w:t>
            </w:r>
          </w:p>
          <w:p w:rsidR="00000000" w:rsidDel="00000000" w:rsidP="00000000" w:rsidRDefault="00000000" w:rsidRPr="00000000" w14:paraId="000000E4">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E5">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Identifié dans le manuel</w:t>
            </w:r>
          </w:p>
        </w:tc>
        <w:tc>
          <w:tcPr>
            <w:shd w:fill="f3f3f3" w:val="clear"/>
          </w:tcPr>
          <w:p w:rsidR="00000000" w:rsidDel="00000000" w:rsidP="00000000" w:rsidRDefault="00000000" w:rsidRPr="00000000" w14:paraId="000000E6">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11 août 2025 – Lancement du manuel</w:t>
            </w:r>
          </w:p>
          <w:p w:rsidR="00000000" w:rsidDel="00000000" w:rsidP="00000000" w:rsidRDefault="00000000" w:rsidRPr="00000000" w14:paraId="000000E7">
            <w:pPr>
              <w:rPr>
                <w:rFonts w:ascii="Gotham" w:cs="Gotham" w:eastAsia="Gotham" w:hAnsi="Gotham"/>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tham" w:cs="Gotham" w:eastAsia="Gotham" w:hAnsi="Gotham"/>
                <w:sz w:val="22"/>
                <w:szCs w:val="22"/>
              </w:rPr>
            </w:pPr>
            <w:r w:rsidDel="00000000" w:rsidR="00000000" w:rsidRPr="00000000">
              <w:rPr>
                <w:rtl w:val="0"/>
              </w:rPr>
            </w:r>
          </w:p>
        </w:tc>
        <w:tc>
          <w:tcPr>
            <w:shd w:fill="f3f3f3" w:val="clear"/>
          </w:tcPr>
          <w:p w:rsidR="00000000" w:rsidDel="00000000" w:rsidP="00000000" w:rsidRDefault="00000000" w:rsidRPr="00000000" w14:paraId="000000E9">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(2) L’employeur consulte l’employé qui présente la demande afin de déterminer la pertinence d’un format accessible ou d’un support de communication.</w:t>
            </w:r>
          </w:p>
        </w:tc>
        <w:tc>
          <w:tcPr>
            <w:shd w:fill="f3f3f3" w:val="clear"/>
          </w:tcPr>
          <w:p w:rsidR="00000000" w:rsidDel="00000000" w:rsidP="00000000" w:rsidRDefault="00000000" w:rsidRPr="00000000" w14:paraId="000000EA">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Les employés sont consultés lors de la détermination des formats accessibles appropriés</w:t>
            </w:r>
          </w:p>
          <w:p w:rsidR="00000000" w:rsidDel="00000000" w:rsidP="00000000" w:rsidRDefault="00000000" w:rsidRPr="00000000" w14:paraId="000000EB">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EC">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Identifié dans le manuel</w:t>
            </w:r>
          </w:p>
        </w:tc>
        <w:tc>
          <w:tcPr>
            <w:shd w:fill="f3f3f3" w:val="clear"/>
          </w:tcPr>
          <w:p w:rsidR="00000000" w:rsidDel="00000000" w:rsidP="00000000" w:rsidRDefault="00000000" w:rsidRPr="00000000" w14:paraId="000000ED">
            <w:pPr>
              <w:rPr>
                <w:rFonts w:ascii="Gotham" w:cs="Gotham" w:eastAsia="Gotham" w:hAnsi="Gotham"/>
                <w:sz w:val="22"/>
                <w:szCs w:val="22"/>
              </w:rPr>
            </w:pPr>
            <w:r w:rsidDel="00000000" w:rsidR="00000000" w:rsidRPr="00000000">
              <w:rPr>
                <w:sz w:val="22"/>
                <w:szCs w:val="22"/>
                <w:rtl w:val="0"/>
              </w:rPr>
              <w:t xml:space="preserve">11 août 2025 – Lancement du manuel</w:t>
            </w:r>
            <w:r w:rsidDel="00000000" w:rsidR="00000000" w:rsidRPr="00000000">
              <w:rPr>
                <w:rtl w:val="0"/>
              </w:rPr>
            </w:r>
          </w:p>
          <w:p w:rsidR="00000000" w:rsidDel="00000000" w:rsidP="00000000" w:rsidRDefault="00000000" w:rsidRPr="00000000" w14:paraId="000000EE">
            <w:pPr>
              <w:rPr>
                <w:rFonts w:ascii="Gotham" w:cs="Gotham" w:eastAsia="Gotham" w:hAnsi="Gotham"/>
                <w:sz w:val="22"/>
                <w:szCs w:val="22"/>
              </w:rPr>
            </w:pPr>
            <w:r w:rsidDel="00000000" w:rsidR="00000000" w:rsidRPr="00000000">
              <w:rPr>
                <w:rtl w:val="0"/>
              </w:rPr>
            </w:r>
          </w:p>
        </w:tc>
      </w:tr>
      <w:tr>
        <w:trPr>
          <w:cantSplit w:val="0"/>
          <w:tblHeader w:val="0"/>
        </w:trPr>
        <w:tc>
          <w:tcPr>
            <w:vMerge w:val="restart"/>
            <w:shd w:fill="auto" w:val="clear"/>
          </w:tcPr>
          <w:p w:rsidR="00000000" w:rsidDel="00000000" w:rsidP="00000000" w:rsidRDefault="00000000" w:rsidRPr="00000000" w14:paraId="000000EF">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Informations sur les interventions d'urgence en milieu de travail</w:t>
            </w:r>
          </w:p>
        </w:tc>
        <w:tc>
          <w:tcPr>
            <w:shd w:fill="auto" w:val="clear"/>
          </w:tcPr>
          <w:p w:rsidR="00000000" w:rsidDel="00000000" w:rsidP="00000000" w:rsidRDefault="00000000" w:rsidRPr="00000000" w14:paraId="000000FE">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27.(1) Tout employeur doit fournir des renseignements individualisés sur les interventions d'urgence en milieu de travail aux employés handicapés, si le handicap est tel que les renseignements individualisés sont nécessaires et que l'employeur est conscient du besoin d'adaptation en raison du handicap de l'employé.</w:t>
            </w:r>
          </w:p>
        </w:tc>
        <w:tc>
          <w:tcPr>
            <w:shd w:fill="auto" w:val="clear"/>
          </w:tcPr>
          <w:p w:rsidR="00000000" w:rsidDel="00000000" w:rsidP="00000000" w:rsidRDefault="00000000" w:rsidRPr="00000000" w14:paraId="000000FF">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identifié dans le manuel et le programme de santé et de sécurité</w:t>
            </w:r>
          </w:p>
        </w:tc>
        <w:tc>
          <w:tcPr>
            <w:shd w:fill="auto" w:val="clear"/>
          </w:tcPr>
          <w:p w:rsidR="00000000" w:rsidDel="00000000" w:rsidP="00000000" w:rsidRDefault="00000000" w:rsidRPr="00000000" w14:paraId="00000100">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11 août 2025 – Lancement du manuel</w:t>
            </w:r>
          </w:p>
          <w:p w:rsidR="00000000" w:rsidDel="00000000" w:rsidP="00000000" w:rsidRDefault="00000000" w:rsidRPr="00000000" w14:paraId="00000101">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 </w:t>
            </w:r>
          </w:p>
          <w:p w:rsidR="00000000" w:rsidDel="00000000" w:rsidP="00000000" w:rsidRDefault="00000000" w:rsidRPr="00000000" w14:paraId="00000102">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03">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Date à déterminer – lancement du programme de santé et de sécurité</w:t>
            </w:r>
          </w:p>
        </w:tc>
      </w:tr>
      <w:tr>
        <w:trPr>
          <w:cantSplit w:val="0"/>
          <w:tblHeader w:val="0"/>
        </w:trPr>
        <w:tc>
          <w:tcPr>
            <w:vMerge w:val="continue"/>
            <w:shd w:fill="auto" w:val="clea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tham" w:cs="Gotham" w:eastAsia="Gotham" w:hAnsi="Gotham"/>
                <w:sz w:val="22"/>
                <w:szCs w:val="22"/>
              </w:rPr>
            </w:pPr>
            <w:r w:rsidDel="00000000" w:rsidR="00000000" w:rsidRPr="00000000">
              <w:rPr>
                <w:rtl w:val="0"/>
              </w:rPr>
            </w:r>
          </w:p>
        </w:tc>
        <w:tc>
          <w:tcPr>
            <w:shd w:fill="auto" w:val="clear"/>
          </w:tcPr>
          <w:p w:rsidR="00000000" w:rsidDel="00000000" w:rsidP="00000000" w:rsidRDefault="00000000" w:rsidRPr="00000000" w14:paraId="00000105">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(2) Si un employé qui reçoit des renseignements individualisés sur les interventions d'urgence en milieu de travail a besoin d'aide et avec son consentement, l'employeur doit fournir les renseignements sur les interventions d'urgence en milieu de travail à la personne désignée par l'employeur pour fournir de l'aide à l'employé.</w:t>
            </w:r>
          </w:p>
        </w:tc>
        <w:tc>
          <w:tcPr>
            <w:shd w:fill="auto" w:val="clear"/>
          </w:tcPr>
          <w:p w:rsidR="00000000" w:rsidDel="00000000" w:rsidP="00000000" w:rsidRDefault="00000000" w:rsidRPr="00000000" w14:paraId="00000106">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Identifié dans le manuel et le programme de santé et de sécurité</w:t>
            </w:r>
          </w:p>
        </w:tc>
        <w:tc>
          <w:tcPr>
            <w:shd w:fill="auto" w:val="clear"/>
          </w:tcPr>
          <w:p w:rsidR="00000000" w:rsidDel="00000000" w:rsidP="00000000" w:rsidRDefault="00000000" w:rsidRPr="00000000" w14:paraId="00000107">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11 août 2025 – Lancement du manuel</w:t>
            </w:r>
          </w:p>
          <w:p w:rsidR="00000000" w:rsidDel="00000000" w:rsidP="00000000" w:rsidRDefault="00000000" w:rsidRPr="00000000" w14:paraId="00000108">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09">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0A">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Date à déterminer – lancement du programme de santé et de sécurité</w:t>
            </w:r>
          </w:p>
          <w:p w:rsidR="00000000" w:rsidDel="00000000" w:rsidP="00000000" w:rsidRDefault="00000000" w:rsidRPr="00000000" w14:paraId="0000010B">
            <w:pPr>
              <w:rPr>
                <w:rFonts w:ascii="Gotham" w:cs="Gotham" w:eastAsia="Gotham" w:hAnsi="Gotham"/>
                <w:sz w:val="22"/>
                <w:szCs w:val="22"/>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tham" w:cs="Gotham" w:eastAsia="Gotham" w:hAnsi="Gotham"/>
                <w:sz w:val="22"/>
                <w:szCs w:val="22"/>
              </w:rPr>
            </w:pPr>
            <w:r w:rsidDel="00000000" w:rsidR="00000000" w:rsidRPr="00000000">
              <w:rPr>
                <w:rtl w:val="0"/>
              </w:rPr>
            </w:r>
          </w:p>
        </w:tc>
        <w:tc>
          <w:tcPr>
            <w:shd w:fill="auto" w:val="clear"/>
          </w:tcPr>
          <w:p w:rsidR="00000000" w:rsidDel="00000000" w:rsidP="00000000" w:rsidRDefault="00000000" w:rsidRPr="00000000" w14:paraId="0000010D">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Les employeurs doivent fournir les renseignements requis en vertu du présent article dès que possible après avoir pris connaissance du besoin d'adaptation en raison du handicap de l'employé.</w:t>
            </w:r>
          </w:p>
        </w:tc>
        <w:tc>
          <w:tcPr>
            <w:shd w:fill="auto" w:val="clear"/>
          </w:tcPr>
          <w:p w:rsidR="00000000" w:rsidDel="00000000" w:rsidP="00000000" w:rsidRDefault="00000000" w:rsidRPr="00000000" w14:paraId="0000010E">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Identifié dans le manuel et le programme de santé et de sécurité</w:t>
            </w:r>
          </w:p>
        </w:tc>
        <w:tc>
          <w:tcPr>
            <w:shd w:fill="auto" w:val="clear"/>
          </w:tcPr>
          <w:p w:rsidR="00000000" w:rsidDel="00000000" w:rsidP="00000000" w:rsidRDefault="00000000" w:rsidRPr="00000000" w14:paraId="0000010F">
            <w:pPr>
              <w:rPr>
                <w:rFonts w:ascii="Gotham" w:cs="Gotham" w:eastAsia="Gotham" w:hAnsi="Gotham"/>
                <w:sz w:val="22"/>
                <w:szCs w:val="22"/>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tham" w:cs="Gotham" w:eastAsia="Gotham" w:hAnsi="Gotham"/>
                <w:sz w:val="22"/>
                <w:szCs w:val="22"/>
              </w:rPr>
            </w:pPr>
            <w:r w:rsidDel="00000000" w:rsidR="00000000" w:rsidRPr="00000000">
              <w:rPr>
                <w:rtl w:val="0"/>
              </w:rPr>
            </w:r>
          </w:p>
        </w:tc>
        <w:tc>
          <w:tcPr>
            <w:shd w:fill="auto" w:val="clear"/>
          </w:tcPr>
          <w:p w:rsidR="00000000" w:rsidDel="00000000" w:rsidP="00000000" w:rsidRDefault="00000000" w:rsidRPr="00000000" w14:paraId="00000111">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(4) Chaque employeur doit examiner les renseignements individualisés sur les interventions d’urgence en milieu de travail,</w:t>
            </w:r>
          </w:p>
          <w:p w:rsidR="00000000" w:rsidDel="00000000" w:rsidP="00000000" w:rsidRDefault="00000000" w:rsidRPr="00000000" w14:paraId="00000112">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13">
            <w:pPr>
              <w:ind w:left="360" w:firstLine="0"/>
              <w:rPr>
                <w:rFonts w:ascii="Gotham" w:cs="Gotham" w:eastAsia="Gotham" w:hAnsi="Gotham"/>
                <w:sz w:val="22"/>
                <w:szCs w:val="22"/>
              </w:rPr>
            </w:pPr>
            <w:r w:rsidDel="00000000" w:rsidR="00000000" w:rsidRPr="00000000">
              <w:rPr>
                <w:rFonts w:ascii="Gotham" w:cs="Gotham" w:eastAsia="Gotham" w:hAnsi="Gotham"/>
                <w:sz w:val="22"/>
                <w:szCs w:val="22"/>
                <w:rtl w:val="0"/>
              </w:rPr>
              <w:t xml:space="preserve">(a) lorsque l’employé déménage à un autre endroit de l’organisation;</w:t>
            </w:r>
          </w:p>
          <w:p w:rsidR="00000000" w:rsidDel="00000000" w:rsidP="00000000" w:rsidRDefault="00000000" w:rsidRPr="00000000" w14:paraId="00000114">
            <w:pPr>
              <w:ind w:left="360" w:firstLine="0"/>
              <w:rPr>
                <w:rFonts w:ascii="Gotham" w:cs="Gotham" w:eastAsia="Gotham" w:hAnsi="Gotham"/>
                <w:sz w:val="22"/>
                <w:szCs w:val="22"/>
              </w:rPr>
            </w:pPr>
            <w:r w:rsidDel="00000000" w:rsidR="00000000" w:rsidRPr="00000000">
              <w:rPr>
                <w:rFonts w:ascii="Gotham" w:cs="Gotham" w:eastAsia="Gotham" w:hAnsi="Gotham"/>
                <w:sz w:val="22"/>
                <w:szCs w:val="22"/>
                <w:rtl w:val="0"/>
              </w:rPr>
              <w:t xml:space="preserve">(b) lorsque les besoins ou les plans d'adaptation globaux de l'employé sont examinés; et</w:t>
            </w:r>
          </w:p>
          <w:p w:rsidR="00000000" w:rsidDel="00000000" w:rsidP="00000000" w:rsidRDefault="00000000" w:rsidRPr="00000000" w14:paraId="00000115">
            <w:pPr>
              <w:ind w:left="360" w:firstLine="0"/>
              <w:rPr>
                <w:rFonts w:ascii="Gotham" w:cs="Gotham" w:eastAsia="Gotham" w:hAnsi="Gotham"/>
                <w:sz w:val="22"/>
                <w:szCs w:val="22"/>
              </w:rPr>
            </w:pPr>
            <w:r w:rsidDel="00000000" w:rsidR="00000000" w:rsidRPr="00000000">
              <w:rPr>
                <w:rFonts w:ascii="Gotham" w:cs="Gotham" w:eastAsia="Gotham" w:hAnsi="Gotham"/>
                <w:sz w:val="22"/>
                <w:szCs w:val="22"/>
                <w:rtl w:val="0"/>
              </w:rPr>
              <w:t xml:space="preserve">(c) lorsque l’employeur révise ses politiques générales d’intervention d’urgence.</w:t>
            </w:r>
          </w:p>
        </w:tc>
        <w:tc>
          <w:tcPr>
            <w:shd w:fill="auto" w:val="clear"/>
          </w:tcPr>
          <w:p w:rsidR="00000000" w:rsidDel="00000000" w:rsidP="00000000" w:rsidRDefault="00000000" w:rsidRPr="00000000" w14:paraId="00000116">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Identifié dans le manuel et le programme de santé et de sécurité.</w:t>
            </w:r>
          </w:p>
          <w:p w:rsidR="00000000" w:rsidDel="00000000" w:rsidP="00000000" w:rsidRDefault="00000000" w:rsidRPr="00000000" w14:paraId="00000117">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18">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Les PAE sont révisés chaque année et au besoin.</w:t>
            </w:r>
          </w:p>
          <w:p w:rsidR="00000000" w:rsidDel="00000000" w:rsidP="00000000" w:rsidRDefault="00000000" w:rsidRPr="00000000" w14:paraId="00000119">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1A">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Les PAE individuels seront révisés chaque année et, si nécessaire, en raison d’un changement.</w:t>
            </w:r>
          </w:p>
          <w:p w:rsidR="00000000" w:rsidDel="00000000" w:rsidP="00000000" w:rsidRDefault="00000000" w:rsidRPr="00000000" w14:paraId="0000011B">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1C">
            <w:pPr>
              <w:rPr>
                <w:rFonts w:ascii="Gotham" w:cs="Gotham" w:eastAsia="Gotham" w:hAnsi="Gotham"/>
                <w:sz w:val="22"/>
                <w:szCs w:val="22"/>
              </w:rPr>
            </w:pPr>
            <w:r w:rsidDel="00000000" w:rsidR="00000000" w:rsidRPr="00000000">
              <w:rPr>
                <w:rtl w:val="0"/>
              </w:rPr>
            </w:r>
          </w:p>
        </w:tc>
        <w:tc>
          <w:tcPr>
            <w:shd w:fill="auto" w:val="clear"/>
          </w:tcPr>
          <w:p w:rsidR="00000000" w:rsidDel="00000000" w:rsidP="00000000" w:rsidRDefault="00000000" w:rsidRPr="00000000" w14:paraId="0000011D">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Date à déterminer –  lancement du programme de santé et de sécurité</w:t>
            </w:r>
          </w:p>
          <w:p w:rsidR="00000000" w:rsidDel="00000000" w:rsidP="00000000" w:rsidRDefault="00000000" w:rsidRPr="00000000" w14:paraId="0000011E">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1F">
            <w:pPr>
              <w:rPr>
                <w:rFonts w:ascii="Gotham" w:cs="Gotham" w:eastAsia="Gotham" w:hAnsi="Gotham"/>
                <w:sz w:val="22"/>
                <w:szCs w:val="22"/>
              </w:rPr>
            </w:pPr>
            <w:r w:rsidDel="00000000" w:rsidR="00000000" w:rsidRPr="00000000">
              <w:rPr>
                <w:rtl w:val="0"/>
              </w:rPr>
            </w:r>
          </w:p>
        </w:tc>
      </w:tr>
      <w:tr>
        <w:trPr>
          <w:cantSplit w:val="0"/>
          <w:tblHeader w:val="0"/>
        </w:trPr>
        <w:tc>
          <w:tcPr>
            <w:vMerge w:val="restart"/>
            <w:shd w:fill="f3f3f3" w:val="clear"/>
          </w:tcPr>
          <w:p w:rsidR="00000000" w:rsidDel="00000000" w:rsidP="00000000" w:rsidRDefault="00000000" w:rsidRPr="00000000" w14:paraId="00000120">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Plans d’adaptation individuels documentés.</w:t>
            </w:r>
          </w:p>
        </w:tc>
        <w:tc>
          <w:tcPr>
            <w:shd w:fill="f3f3f3" w:val="clear"/>
          </w:tcPr>
          <w:p w:rsidR="00000000" w:rsidDel="00000000" w:rsidP="00000000" w:rsidRDefault="00000000" w:rsidRPr="00000000" w14:paraId="00000137">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28.(1) Les employeurs, autres que les employeurs qui sont de petites organisations, doivent élaborer et mettre en place un processus écrit pour l’élaboration de plans d’adaptation individuels documentés pour les employés handicapés.</w:t>
            </w:r>
          </w:p>
        </w:tc>
        <w:tc>
          <w:tcPr>
            <w:shd w:fill="f3f3f3" w:val="clear"/>
          </w:tcPr>
          <w:p w:rsidR="00000000" w:rsidDel="00000000" w:rsidP="00000000" w:rsidRDefault="00000000" w:rsidRPr="00000000" w14:paraId="00000138">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Processus identifié dans le manuel. Des aménagements individuels sont prévus au besoin.</w:t>
            </w:r>
          </w:p>
        </w:tc>
        <w:tc>
          <w:tcPr>
            <w:shd w:fill="f3f3f3" w:val="clear"/>
          </w:tcPr>
          <w:p w:rsidR="00000000" w:rsidDel="00000000" w:rsidP="00000000" w:rsidRDefault="00000000" w:rsidRPr="00000000" w14:paraId="00000139">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11 août 2025 – Lancement du manuel</w:t>
            </w:r>
          </w:p>
          <w:p w:rsidR="00000000" w:rsidDel="00000000" w:rsidP="00000000" w:rsidRDefault="00000000" w:rsidRPr="00000000" w14:paraId="0000013A">
            <w:pPr>
              <w:rPr>
                <w:rFonts w:ascii="Gotham" w:cs="Gotham" w:eastAsia="Gotham" w:hAnsi="Gotham"/>
                <w:sz w:val="22"/>
                <w:szCs w:val="22"/>
              </w:rPr>
            </w:pPr>
            <w:r w:rsidDel="00000000" w:rsidR="00000000" w:rsidRPr="00000000">
              <w:rPr>
                <w:rtl w:val="0"/>
              </w:rPr>
            </w:r>
          </w:p>
        </w:tc>
      </w:tr>
      <w:tr>
        <w:trPr>
          <w:cantSplit w:val="0"/>
          <w:tblHeader w:val="0"/>
        </w:trPr>
        <w:tc>
          <w:tcPr>
            <w:vMerge w:val="continue"/>
            <w:shd w:fill="f3f3f3" w:val="clea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tham" w:cs="Gotham" w:eastAsia="Gotham" w:hAnsi="Gotham"/>
                <w:sz w:val="22"/>
                <w:szCs w:val="22"/>
              </w:rPr>
            </w:pPr>
            <w:r w:rsidDel="00000000" w:rsidR="00000000" w:rsidRPr="00000000">
              <w:rPr>
                <w:rtl w:val="0"/>
              </w:rPr>
            </w:r>
          </w:p>
        </w:tc>
        <w:tc>
          <w:tcPr>
            <w:shd w:fill="f3f3f3" w:val="clear"/>
          </w:tcPr>
          <w:p w:rsidR="00000000" w:rsidDel="00000000" w:rsidP="00000000" w:rsidRDefault="00000000" w:rsidRPr="00000000" w14:paraId="0000013C">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(2) Le processus d’élaboration de plans d’adaptation individuels documentés doit comprendre les éléments suivants :</w:t>
            </w:r>
          </w:p>
          <w:p w:rsidR="00000000" w:rsidDel="00000000" w:rsidP="00000000" w:rsidRDefault="00000000" w:rsidRPr="00000000" w14:paraId="0000013D">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3E">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1. La manière dont un employé demandant un aménagement peut participer à l’élaboration du plan d’aménagement individuel.</w:t>
            </w:r>
          </w:p>
          <w:p w:rsidR="00000000" w:rsidDel="00000000" w:rsidP="00000000" w:rsidRDefault="00000000" w:rsidRPr="00000000" w14:paraId="0000013F">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40">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2. Les moyens par lesquels l’employé est évalué sur une base individuelle.</w:t>
            </w:r>
          </w:p>
          <w:p w:rsidR="00000000" w:rsidDel="00000000" w:rsidP="00000000" w:rsidRDefault="00000000" w:rsidRPr="00000000" w14:paraId="00000141">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42">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3. La manière dont l'employeur peut demander une évaluation par un médecin ou un autre expert externe, aux frais de l'employeur, pour l'aider à déterminer si des mesures d'adaptation peuvent être prises et, si oui, comment ces mesures peuvent être prises.</w:t>
            </w:r>
          </w:p>
          <w:p w:rsidR="00000000" w:rsidDel="00000000" w:rsidP="00000000" w:rsidRDefault="00000000" w:rsidRPr="00000000" w14:paraId="00000143">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44">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4. La manière dont l’employé peut demander la participation d’un représentant de son agent négociateur, lorsque l’employé est représenté par un agent négociateur, ou d’un autre représentant du lieu de travail, lorsque l’employé n’est pas représenté par un agent négociateur, à l’élaboration du plan d’adaptation.</w:t>
            </w:r>
          </w:p>
          <w:p w:rsidR="00000000" w:rsidDel="00000000" w:rsidP="00000000" w:rsidRDefault="00000000" w:rsidRPr="00000000" w14:paraId="00000145">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46">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5. Les mesures prises pour protéger la confidentialité des renseignements personnels de l’employé.</w:t>
            </w:r>
          </w:p>
          <w:p w:rsidR="00000000" w:rsidDel="00000000" w:rsidP="00000000" w:rsidRDefault="00000000" w:rsidRPr="00000000" w14:paraId="00000147">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48">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6. La fréquence à laquelle le plan d’adaptation individuel sera révisé et mis à jour et la manière dont cela sera fait.</w:t>
            </w:r>
          </w:p>
          <w:p w:rsidR="00000000" w:rsidDel="00000000" w:rsidP="00000000" w:rsidRDefault="00000000" w:rsidRPr="00000000" w14:paraId="00000149">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4A">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7. Si un plan d’adaptation individuel est refusé, la manière dont les raisons du refus seront communiquées à l’employé.</w:t>
            </w:r>
          </w:p>
          <w:p w:rsidR="00000000" w:rsidDel="00000000" w:rsidP="00000000" w:rsidRDefault="00000000" w:rsidRPr="00000000" w14:paraId="0000014B">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4C">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8. Les moyens de fournir le plan d’adaptation individuel dans un format qui tient compte des besoins d’accessibilité de l’employé en raison de son handicap.</w:t>
            </w:r>
          </w:p>
        </w:tc>
        <w:tc>
          <w:tcPr>
            <w:shd w:fill="f3f3f3" w:val="clear"/>
          </w:tcPr>
          <w:p w:rsidR="00000000" w:rsidDel="00000000" w:rsidP="00000000" w:rsidRDefault="00000000" w:rsidRPr="00000000" w14:paraId="0000014D">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Processus identifié dans le manuel</w:t>
            </w:r>
          </w:p>
        </w:tc>
        <w:tc>
          <w:tcPr>
            <w:shd w:fill="f3f3f3" w:val="clear"/>
          </w:tcPr>
          <w:p w:rsidR="00000000" w:rsidDel="00000000" w:rsidP="00000000" w:rsidRDefault="00000000" w:rsidRPr="00000000" w14:paraId="0000014E">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11 août 2025 – Lancement du manuel</w:t>
            </w:r>
          </w:p>
          <w:p w:rsidR="00000000" w:rsidDel="00000000" w:rsidP="00000000" w:rsidRDefault="00000000" w:rsidRPr="00000000" w14:paraId="0000014F">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50">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51">
            <w:pPr>
              <w:rPr>
                <w:rFonts w:ascii="Gotham" w:cs="Gotham" w:eastAsia="Gotham" w:hAnsi="Gotham"/>
                <w:sz w:val="22"/>
                <w:szCs w:val="22"/>
              </w:rPr>
            </w:pPr>
            <w:r w:rsidDel="00000000" w:rsidR="00000000" w:rsidRPr="00000000">
              <w:rPr>
                <w:rtl w:val="0"/>
              </w:rPr>
            </w:r>
          </w:p>
        </w:tc>
      </w:tr>
      <w:tr>
        <w:trPr>
          <w:cantSplit w:val="0"/>
          <w:tblHeader w:val="0"/>
        </w:trPr>
        <w:tc>
          <w:tcPr>
            <w:vMerge w:val="restart"/>
            <w:shd w:fill="auto" w:val="clear"/>
          </w:tcPr>
          <w:p w:rsidR="00000000" w:rsidDel="00000000" w:rsidP="00000000" w:rsidRDefault="00000000" w:rsidRPr="00000000" w14:paraId="00000152">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Processus de retour au travail</w:t>
            </w:r>
          </w:p>
        </w:tc>
        <w:tc>
          <w:tcPr>
            <w:shd w:fill="auto" w:val="clear"/>
          </w:tcPr>
          <w:p w:rsidR="00000000" w:rsidDel="00000000" w:rsidP="00000000" w:rsidRDefault="00000000" w:rsidRPr="00000000" w14:paraId="0000015C">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29.(1) Tout employeur, autre qu’un employeur qui est une petite organisation,</w:t>
            </w:r>
          </w:p>
          <w:p w:rsidR="00000000" w:rsidDel="00000000" w:rsidP="00000000" w:rsidRDefault="00000000" w:rsidRPr="00000000" w14:paraId="0000015D">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5E">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(a) doit élaborer et mettre en place un processus de retour au travail pour ses employés qui ont été absents du travail en raison d'un handicap et qui ont besoin d'aménagements liés à leur handicap pour retourner au travail; et</w:t>
            </w:r>
          </w:p>
          <w:p w:rsidR="00000000" w:rsidDel="00000000" w:rsidP="00000000" w:rsidRDefault="00000000" w:rsidRPr="00000000" w14:paraId="0000015F">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60">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(b) doit documenter le processus.</w:t>
            </w:r>
          </w:p>
        </w:tc>
        <w:tc>
          <w:tcPr>
            <w:shd w:fill="auto" w:val="clear"/>
          </w:tcPr>
          <w:p w:rsidR="00000000" w:rsidDel="00000000" w:rsidP="00000000" w:rsidRDefault="00000000" w:rsidRPr="00000000" w14:paraId="00000161">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Identifié dans le manuel</w:t>
            </w:r>
          </w:p>
        </w:tc>
        <w:tc>
          <w:tcPr>
            <w:shd w:fill="auto" w:val="clear"/>
          </w:tcPr>
          <w:p w:rsidR="00000000" w:rsidDel="00000000" w:rsidP="00000000" w:rsidRDefault="00000000" w:rsidRPr="00000000" w14:paraId="00000162">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11 août 2025 – Lancement du manuel</w:t>
            </w:r>
          </w:p>
        </w:tc>
      </w:tr>
      <w:tr>
        <w:trPr>
          <w:cantSplit w:val="0"/>
          <w:tblHeader w:val="0"/>
        </w:trPr>
        <w:tc>
          <w:tcPr>
            <w:vMerge w:val="continue"/>
            <w:shd w:fill="auto" w:val="clea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tham" w:cs="Gotham" w:eastAsia="Gotham" w:hAnsi="Gotham"/>
                <w:sz w:val="22"/>
                <w:szCs w:val="22"/>
              </w:rPr>
            </w:pPr>
            <w:r w:rsidDel="00000000" w:rsidR="00000000" w:rsidRPr="00000000">
              <w:rPr>
                <w:rtl w:val="0"/>
              </w:rPr>
            </w:r>
          </w:p>
        </w:tc>
        <w:tc>
          <w:tcPr>
            <w:shd w:fill="auto" w:val="clear"/>
          </w:tcPr>
          <w:p w:rsidR="00000000" w:rsidDel="00000000" w:rsidP="00000000" w:rsidRDefault="00000000" w:rsidRPr="00000000" w14:paraId="00000164">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(2) Le processus de retour au travail doit,</w:t>
            </w:r>
          </w:p>
          <w:p w:rsidR="00000000" w:rsidDel="00000000" w:rsidP="00000000" w:rsidRDefault="00000000" w:rsidRPr="00000000" w14:paraId="00000165">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66">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(a) décrire les mesures que l'employeur prendra pour faciliter le retour au travail des employés qui étaient absents parce que leur handicap les obligeait à s'absenter du travail; et</w:t>
            </w:r>
          </w:p>
          <w:p w:rsidR="00000000" w:rsidDel="00000000" w:rsidP="00000000" w:rsidRDefault="00000000" w:rsidRPr="00000000" w14:paraId="00000167">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68">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(b) utiliser des plans d’adaptation individuels documentés, tels que décrits à l’article 28, dans le cadre du processus.</w:t>
            </w:r>
          </w:p>
        </w:tc>
        <w:tc>
          <w:tcPr>
            <w:shd w:fill="auto" w:val="clear"/>
          </w:tcPr>
          <w:p w:rsidR="00000000" w:rsidDel="00000000" w:rsidP="00000000" w:rsidRDefault="00000000" w:rsidRPr="00000000" w14:paraId="00000169">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Identifié dans le manuel</w:t>
            </w:r>
          </w:p>
        </w:tc>
        <w:tc>
          <w:tcPr>
            <w:shd w:fill="auto" w:val="clear"/>
          </w:tcPr>
          <w:p w:rsidR="00000000" w:rsidDel="00000000" w:rsidP="00000000" w:rsidRDefault="00000000" w:rsidRPr="00000000" w14:paraId="0000016A">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11 août 2025 – Lancement du manuel</w:t>
            </w:r>
          </w:p>
        </w:tc>
      </w:tr>
      <w:tr>
        <w:trPr>
          <w:cantSplit w:val="0"/>
          <w:tblHeader w:val="0"/>
        </w:trPr>
        <w:tc>
          <w:tcPr>
            <w:vMerge w:val="continue"/>
            <w:shd w:fill="auto" w:val="clea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tham" w:cs="Gotham" w:eastAsia="Gotham" w:hAnsi="Gotham"/>
                <w:sz w:val="22"/>
                <w:szCs w:val="22"/>
              </w:rPr>
            </w:pPr>
            <w:r w:rsidDel="00000000" w:rsidR="00000000" w:rsidRPr="00000000">
              <w:rPr>
                <w:rtl w:val="0"/>
              </w:rPr>
            </w:r>
          </w:p>
        </w:tc>
        <w:tc>
          <w:tcPr>
            <w:shd w:fill="auto" w:val="clear"/>
          </w:tcPr>
          <w:p w:rsidR="00000000" w:rsidDel="00000000" w:rsidP="00000000" w:rsidRDefault="00000000" w:rsidRPr="00000000" w14:paraId="0000016C">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(3) Le processus de retour au travail mentionné dans la présente section ne remplace ni n’annule aucun autre processus de retour au travail créé par ou en vertu de toute autre loi.</w:t>
            </w:r>
          </w:p>
        </w:tc>
        <w:tc>
          <w:tcPr>
            <w:shd w:fill="auto" w:val="clear"/>
          </w:tcPr>
          <w:p w:rsidR="00000000" w:rsidDel="00000000" w:rsidP="00000000" w:rsidRDefault="00000000" w:rsidRPr="00000000" w14:paraId="0000016D">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Identifié dans le manuel</w:t>
            </w:r>
          </w:p>
        </w:tc>
        <w:tc>
          <w:tcPr>
            <w:shd w:fill="auto" w:val="clear"/>
          </w:tcPr>
          <w:p w:rsidR="00000000" w:rsidDel="00000000" w:rsidP="00000000" w:rsidRDefault="00000000" w:rsidRPr="00000000" w14:paraId="0000016E">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11 août 2025 – Lancement du manuel</w:t>
            </w:r>
          </w:p>
        </w:tc>
      </w:tr>
      <w:tr>
        <w:trPr>
          <w:cantSplit w:val="0"/>
          <w:tblHeader w:val="0"/>
        </w:trPr>
        <w:tc>
          <w:tcPr>
            <w:shd w:fill="f3f3f3" w:val="clear"/>
          </w:tcPr>
          <w:p w:rsidR="00000000" w:rsidDel="00000000" w:rsidP="00000000" w:rsidRDefault="00000000" w:rsidRPr="00000000" w14:paraId="0000016F">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Gestion de la performance</w:t>
            </w:r>
          </w:p>
        </w:tc>
        <w:tc>
          <w:tcPr>
            <w:shd w:fill="f3f3f3" w:val="clear"/>
          </w:tcPr>
          <w:p w:rsidR="00000000" w:rsidDel="00000000" w:rsidP="00000000" w:rsidRDefault="00000000" w:rsidRPr="00000000" w14:paraId="00000170">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30.(1) L’employeur qui utilise la gestion du rendement à l’égard de ses employés doit tenir compte des besoins d’accessibilité des employés handicapés, ainsi que des plans d’adaptation individuels, lorsqu’il utilise son processus de gestion du rendement à l’égard des employés handicapés.</w:t>
            </w:r>
          </w:p>
        </w:tc>
        <w:tc>
          <w:tcPr>
            <w:shd w:fill="f3f3f3" w:val="clear"/>
          </w:tcPr>
          <w:p w:rsidR="00000000" w:rsidDel="00000000" w:rsidP="00000000" w:rsidRDefault="00000000" w:rsidRPr="00000000" w14:paraId="00000171">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Identifié dans le manuel</w:t>
            </w:r>
          </w:p>
        </w:tc>
        <w:tc>
          <w:tcPr>
            <w:shd w:fill="f3f3f3" w:val="clear"/>
          </w:tcPr>
          <w:p w:rsidR="00000000" w:rsidDel="00000000" w:rsidP="00000000" w:rsidRDefault="00000000" w:rsidRPr="00000000" w14:paraId="00000172">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11 août 2025 – Lancement du manuel</w:t>
            </w:r>
          </w:p>
        </w:tc>
      </w:tr>
      <w:tr>
        <w:trPr>
          <w:cantSplit w:val="0"/>
          <w:tblHeader w:val="0"/>
        </w:trPr>
        <w:tc>
          <w:tcPr>
            <w:shd w:fill="auto" w:val="clear"/>
          </w:tcPr>
          <w:p w:rsidR="00000000" w:rsidDel="00000000" w:rsidP="00000000" w:rsidRDefault="00000000" w:rsidRPr="00000000" w14:paraId="00000173">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Développement de carrière et avancement</w:t>
            </w:r>
          </w:p>
        </w:tc>
        <w:tc>
          <w:tcPr>
            <w:shd w:fill="auto" w:val="clear"/>
          </w:tcPr>
          <w:p w:rsidR="00000000" w:rsidDel="00000000" w:rsidP="00000000" w:rsidRDefault="00000000" w:rsidRPr="00000000" w14:paraId="00000174">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31.(1) L’employeur qui offre du développement et de l’avancement de carrière à ses employés doit tenir compte des besoins d’accessibilité de ses employés handicapés ainsi que de tout plan d’adaptation individuel, lorsqu’il offre du développement et de l’avancement de carrière à ses employés handicapés.</w:t>
            </w:r>
          </w:p>
        </w:tc>
        <w:tc>
          <w:tcPr>
            <w:shd w:fill="auto" w:val="clear"/>
          </w:tcPr>
          <w:p w:rsidR="00000000" w:rsidDel="00000000" w:rsidP="00000000" w:rsidRDefault="00000000" w:rsidRPr="00000000" w14:paraId="00000175">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Identifié dans le manuel</w:t>
            </w:r>
          </w:p>
        </w:tc>
        <w:tc>
          <w:tcPr>
            <w:shd w:fill="auto" w:val="clear"/>
          </w:tcPr>
          <w:p w:rsidR="00000000" w:rsidDel="00000000" w:rsidP="00000000" w:rsidRDefault="00000000" w:rsidRPr="00000000" w14:paraId="00000176">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11 août 2025 – Lancement du manuel</w:t>
            </w:r>
          </w:p>
        </w:tc>
      </w:tr>
      <w:tr>
        <w:trPr>
          <w:cantSplit w:val="0"/>
          <w:tblHeader w:val="0"/>
        </w:trPr>
        <w:tc>
          <w:tcPr>
            <w:shd w:fill="f3f3f3" w:val="clear"/>
          </w:tcPr>
          <w:p w:rsidR="00000000" w:rsidDel="00000000" w:rsidP="00000000" w:rsidRDefault="00000000" w:rsidRPr="00000000" w14:paraId="00000177">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Redéploiement</w:t>
            </w:r>
          </w:p>
        </w:tc>
        <w:tc>
          <w:tcPr>
            <w:shd w:fill="f3f3f3" w:val="clear"/>
          </w:tcPr>
          <w:p w:rsidR="00000000" w:rsidDel="00000000" w:rsidP="00000000" w:rsidRDefault="00000000" w:rsidRPr="00000000" w14:paraId="00000178">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32.(1) L’employeur qui recourt au redéploiement doit tenir compte des besoins d’accessibilité de ses employés handicapés, ainsi que des plans d’adaptation individuels, lors du redéploiement des employés handicapés.</w:t>
            </w:r>
          </w:p>
        </w:tc>
        <w:tc>
          <w:tcPr>
            <w:shd w:fill="f3f3f3" w:val="clear"/>
          </w:tcPr>
          <w:p w:rsidR="00000000" w:rsidDel="00000000" w:rsidP="00000000" w:rsidRDefault="00000000" w:rsidRPr="00000000" w14:paraId="00000179">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Identifié dans le manuel</w:t>
            </w:r>
          </w:p>
        </w:tc>
        <w:tc>
          <w:tcPr>
            <w:shd w:fill="f3f3f3" w:val="clear"/>
          </w:tcPr>
          <w:p w:rsidR="00000000" w:rsidDel="00000000" w:rsidP="00000000" w:rsidRDefault="00000000" w:rsidRPr="00000000" w14:paraId="0000017A">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11 août 2025 – Lancement du manuel</w:t>
            </w:r>
          </w:p>
        </w:tc>
      </w:tr>
    </w:tbl>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pStyle w:val="Heading3"/>
        <w:rPr>
          <w:color w:val="000000"/>
        </w:rPr>
      </w:pPr>
      <w:r w:rsidDel="00000000" w:rsidR="00000000" w:rsidRPr="00000000">
        <w:rPr>
          <w:rtl w:val="0"/>
        </w:rPr>
        <w:t xml:space="preserve">PARTIE IV – Conception des espaces publics</w:t>
      </w:r>
      <w:r w:rsidDel="00000000" w:rsidR="00000000" w:rsidRPr="00000000">
        <w:rPr>
          <w:rtl w:val="0"/>
        </w:rPr>
      </w:r>
    </w:p>
    <w:tbl>
      <w:tblPr>
        <w:tblStyle w:val="Table4"/>
        <w:tblW w:w="10833.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2025"/>
        <w:gridCol w:w="4843"/>
        <w:gridCol w:w="2298"/>
        <w:gridCol w:w="1667"/>
        <w:tblGridChange w:id="0">
          <w:tblGrid>
            <w:gridCol w:w="2025"/>
            <w:gridCol w:w="4843"/>
            <w:gridCol w:w="2298"/>
            <w:gridCol w:w="1667"/>
          </w:tblGrid>
        </w:tblGridChange>
      </w:tblGrid>
      <w:tr>
        <w:trPr>
          <w:cantSplit w:val="0"/>
          <w:trHeight w:val="475" w:hRule="atLeast"/>
          <w:tblHeader w:val="0"/>
        </w:trPr>
        <w:tc>
          <w:tcPr/>
          <w:p w:rsidR="00000000" w:rsidDel="00000000" w:rsidP="00000000" w:rsidRDefault="00000000" w:rsidRPr="00000000" w14:paraId="0000017D">
            <w:pPr>
              <w:jc w:val="center"/>
              <w:rPr>
                <w:rFonts w:ascii="Gotham" w:cs="Gotham" w:eastAsia="Gotham" w:hAnsi="Gotham"/>
                <w:sz w:val="22"/>
                <w:szCs w:val="22"/>
              </w:rPr>
            </w:pPr>
            <w:r w:rsidDel="00000000" w:rsidR="00000000" w:rsidRPr="00000000">
              <w:rPr>
                <w:rFonts w:ascii="Gotham" w:cs="Gotham" w:eastAsia="Gotham" w:hAnsi="Gotham"/>
                <w:b w:val="0"/>
                <w:sz w:val="22"/>
                <w:szCs w:val="22"/>
                <w:rtl w:val="0"/>
              </w:rPr>
              <w:t xml:space="preserve">Initiative</w:t>
            </w:r>
            <w:r w:rsidDel="00000000" w:rsidR="00000000" w:rsidRPr="00000000">
              <w:rPr>
                <w:rtl w:val="0"/>
              </w:rPr>
            </w:r>
          </w:p>
        </w:tc>
        <w:tc>
          <w:tcPr/>
          <w:p w:rsidR="00000000" w:rsidDel="00000000" w:rsidP="00000000" w:rsidRDefault="00000000" w:rsidRPr="00000000" w14:paraId="0000017E">
            <w:pPr>
              <w:jc w:val="center"/>
              <w:rPr>
                <w:rFonts w:ascii="Gotham" w:cs="Gotham" w:eastAsia="Gotham" w:hAnsi="Gotham"/>
                <w:sz w:val="22"/>
                <w:szCs w:val="22"/>
              </w:rPr>
            </w:pPr>
            <w:r w:rsidDel="00000000" w:rsidR="00000000" w:rsidRPr="00000000">
              <w:rPr>
                <w:rFonts w:ascii="Gotham" w:cs="Gotham" w:eastAsia="Gotham" w:hAnsi="Gotham"/>
                <w:b w:val="0"/>
                <w:sz w:val="22"/>
                <w:szCs w:val="22"/>
                <w:rtl w:val="0"/>
              </w:rPr>
              <w:t xml:space="preserve">Description</w:t>
            </w:r>
            <w:r w:rsidDel="00000000" w:rsidR="00000000" w:rsidRPr="00000000">
              <w:rPr>
                <w:rtl w:val="0"/>
              </w:rPr>
            </w:r>
          </w:p>
        </w:tc>
        <w:tc>
          <w:tcPr/>
          <w:p w:rsidR="00000000" w:rsidDel="00000000" w:rsidP="00000000" w:rsidRDefault="00000000" w:rsidRPr="00000000" w14:paraId="0000017F">
            <w:pPr>
              <w:jc w:val="center"/>
              <w:rPr>
                <w:rFonts w:ascii="Gotham" w:cs="Gotham" w:eastAsia="Gotham" w:hAnsi="Gotham"/>
                <w:sz w:val="22"/>
                <w:szCs w:val="22"/>
              </w:rPr>
            </w:pPr>
            <w:r w:rsidDel="00000000" w:rsidR="00000000" w:rsidRPr="00000000">
              <w:rPr>
                <w:rFonts w:ascii="Gotham" w:cs="Gotham" w:eastAsia="Gotham" w:hAnsi="Gotham"/>
                <w:b w:val="0"/>
                <w:sz w:val="22"/>
                <w:szCs w:val="22"/>
                <w:rtl w:val="0"/>
              </w:rPr>
              <w:t xml:space="preserve">Action</w:t>
            </w:r>
            <w:r w:rsidDel="00000000" w:rsidR="00000000" w:rsidRPr="00000000">
              <w:rPr>
                <w:rtl w:val="0"/>
              </w:rPr>
            </w:r>
          </w:p>
        </w:tc>
        <w:tc>
          <w:tcPr/>
          <w:p w:rsidR="00000000" w:rsidDel="00000000" w:rsidP="00000000" w:rsidRDefault="00000000" w:rsidRPr="00000000" w14:paraId="00000180">
            <w:pPr>
              <w:jc w:val="center"/>
              <w:rPr>
                <w:rFonts w:ascii="Gotham" w:cs="Gotham" w:eastAsia="Gotham" w:hAnsi="Gotham"/>
                <w:sz w:val="22"/>
                <w:szCs w:val="22"/>
              </w:rPr>
            </w:pPr>
            <w:r w:rsidDel="00000000" w:rsidR="00000000" w:rsidRPr="00000000">
              <w:rPr>
                <w:rFonts w:ascii="Gotham" w:cs="Gotham" w:eastAsia="Gotham" w:hAnsi="Gotham"/>
                <w:b w:val="0"/>
                <w:sz w:val="22"/>
                <w:szCs w:val="22"/>
                <w:rtl w:val="0"/>
              </w:rPr>
              <w:t xml:space="preserve">Date de conformité - LAPHO</w:t>
            </w:r>
            <w:r w:rsidDel="00000000" w:rsidR="00000000" w:rsidRPr="00000000">
              <w:rPr>
                <w:rtl w:val="0"/>
              </w:rPr>
            </w:r>
          </w:p>
        </w:tc>
      </w:tr>
      <w:tr>
        <w:trPr>
          <w:cantSplit w:val="0"/>
          <w:trHeight w:val="1464" w:hRule="atLeast"/>
          <w:tblHeader w:val="0"/>
        </w:trPr>
        <w:tc>
          <w:tcPr/>
          <w:p w:rsidR="00000000" w:rsidDel="00000000" w:rsidP="00000000" w:rsidRDefault="00000000" w:rsidRPr="00000000" w14:paraId="00000181">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Chemins de déplacement extérieurs</w:t>
            </w:r>
          </w:p>
        </w:tc>
        <w:tc>
          <w:tcPr/>
          <w:p w:rsidR="00000000" w:rsidDel="00000000" w:rsidP="00000000" w:rsidRDefault="00000000" w:rsidRPr="00000000" w14:paraId="00000182">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80.22 Les organisations assujetties, autres que les petites organisations, doivent s’assurer que toutes les voies de circulation extérieures qu’elles construisent ou réaménagent et qu’elles ont l’intention d’entretenir satisfont aux exigences énoncées dans la présente partie.</w:t>
            </w:r>
          </w:p>
        </w:tc>
        <w:tc>
          <w:tcPr/>
          <w:p w:rsidR="00000000" w:rsidDel="00000000" w:rsidP="00000000" w:rsidRDefault="00000000" w:rsidRPr="00000000" w14:paraId="00000183">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Complété</w:t>
            </w:r>
          </w:p>
        </w:tc>
        <w:tc>
          <w:tcPr/>
          <w:p w:rsidR="00000000" w:rsidDel="00000000" w:rsidP="00000000" w:rsidRDefault="00000000" w:rsidRPr="00000000" w14:paraId="00000184">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25 novembre 2024 – Ouverture du magasin de Gatineau</w:t>
            </w:r>
          </w:p>
        </w:tc>
      </w:tr>
      <w:tr>
        <w:trPr>
          <w:cantSplit w:val="0"/>
          <w:trHeight w:val="1702" w:hRule="atLeast"/>
          <w:tblHeader w:val="0"/>
        </w:trPr>
        <w:tc>
          <w:tcPr/>
          <w:p w:rsidR="00000000" w:rsidDel="00000000" w:rsidP="00000000" w:rsidRDefault="00000000" w:rsidRPr="00000000" w14:paraId="00000185">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Stationnement</w:t>
            </w:r>
          </w:p>
        </w:tc>
        <w:tc>
          <w:tcPr/>
          <w:p w:rsidR="00000000" w:rsidDel="00000000" w:rsidP="00000000" w:rsidRDefault="00000000" w:rsidRPr="00000000" w14:paraId="00000186">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80.32 Les organismes assujettis doivent s’assurer que, lors de la construction ou du réaménagement de nouvelles installations de stationnement hors rue qu’ils ont l’intention d’entretenir, ces installations satisfont aux exigences énoncées dans la présente partie.</w:t>
            </w:r>
          </w:p>
        </w:tc>
        <w:tc>
          <w:tcPr/>
          <w:p w:rsidR="00000000" w:rsidDel="00000000" w:rsidP="00000000" w:rsidRDefault="00000000" w:rsidRPr="00000000" w14:paraId="00000187">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Complété</w:t>
            </w:r>
          </w:p>
          <w:p w:rsidR="00000000" w:rsidDel="00000000" w:rsidP="00000000" w:rsidRDefault="00000000" w:rsidRPr="00000000" w14:paraId="00000188">
            <w:pPr>
              <w:rPr>
                <w:rFonts w:ascii="Gotham" w:cs="Gotham" w:eastAsia="Gotham" w:hAnsi="Gotham"/>
                <w:sz w:val="22"/>
                <w:szCs w:val="22"/>
              </w:rPr>
            </w:pPr>
            <w:r w:rsidDel="00000000" w:rsidR="00000000" w:rsidRPr="00000000">
              <w:rPr>
                <w:rtl w:val="0"/>
              </w:rPr>
            </w:r>
          </w:p>
        </w:tc>
        <w:tc>
          <w:tcPr/>
          <w:p w:rsidR="00000000" w:rsidDel="00000000" w:rsidP="00000000" w:rsidRDefault="00000000" w:rsidRPr="00000000" w14:paraId="00000189">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25 novembre 2024 – Ouverture du magasin de Gatineau</w:t>
            </w:r>
          </w:p>
        </w:tc>
      </w:tr>
      <w:tr>
        <w:trPr>
          <w:cantSplit w:val="0"/>
          <w:trHeight w:val="4154" w:hRule="atLeast"/>
          <w:tblHeader w:val="0"/>
        </w:trPr>
        <w:tc>
          <w:tcPr/>
          <w:p w:rsidR="00000000" w:rsidDel="00000000" w:rsidP="00000000" w:rsidRDefault="00000000" w:rsidRPr="00000000" w14:paraId="0000018A">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Comptoirs de service</w:t>
            </w:r>
          </w:p>
        </w:tc>
        <w:tc>
          <w:tcPr/>
          <w:p w:rsidR="00000000" w:rsidDel="00000000" w:rsidP="00000000" w:rsidRDefault="00000000" w:rsidRPr="00000000" w14:paraId="0000018B">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80.41(1) Lors de la construction de nouveaux comptoirs de service, y compris le remplacement de comptoirs de service existants, les exigences suivantes doivent être respectées :</w:t>
            </w:r>
          </w:p>
          <w:p w:rsidR="00000000" w:rsidDel="00000000" w:rsidP="00000000" w:rsidRDefault="00000000" w:rsidRPr="00000000" w14:paraId="0000018C">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8D">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1. Il doit y avoir au moins un comptoir de service pouvant accueillir une aide à la mobilité pour chaque type de service fourni et le comptoir de service accessible doit être clairement identifié par une signalisation, lorsqu'il y a plusieurs files d'attente et comptoirs de service.</w:t>
            </w:r>
          </w:p>
          <w:p w:rsidR="00000000" w:rsidDel="00000000" w:rsidP="00000000" w:rsidRDefault="00000000" w:rsidRPr="00000000" w14:paraId="0000018E">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8F">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2. Chaque comptoir de service doit accueillir une aide à la mobilité, lorsqu'une seule file d'attente dessert un ou plusieurs comptoirs.</w:t>
            </w:r>
          </w:p>
        </w:tc>
        <w:tc>
          <w:tcPr/>
          <w:p w:rsidR="00000000" w:rsidDel="00000000" w:rsidP="00000000" w:rsidRDefault="00000000" w:rsidRPr="00000000" w14:paraId="00000190">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91">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Complété</w:t>
            </w:r>
          </w:p>
          <w:p w:rsidR="00000000" w:rsidDel="00000000" w:rsidP="00000000" w:rsidRDefault="00000000" w:rsidRPr="00000000" w14:paraId="00000192">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93">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94">
            <w:pPr>
              <w:numPr>
                <w:ilvl w:val="0"/>
                <w:numId w:val="2"/>
              </w:numPr>
              <w:pBdr>
                <w:top w:space="0" w:sz="0" w:val="nil"/>
                <w:left w:space="0" w:sz="0" w:val="nil"/>
                <w:bottom w:space="0" w:sz="0" w:val="nil"/>
                <w:right w:space="0" w:sz="0" w:val="nil"/>
                <w:between w:space="0" w:sz="0" w:val="nil"/>
              </w:pBdr>
              <w:spacing w:line="278.00000000000006" w:lineRule="auto"/>
              <w:ind w:left="720" w:hanging="360"/>
              <w:rPr>
                <w:rFonts w:ascii="Gotham" w:cs="Gotham" w:eastAsia="Gotham" w:hAnsi="Gotham"/>
                <w:color w:val="000000"/>
                <w:sz w:val="22"/>
                <w:szCs w:val="22"/>
              </w:rPr>
            </w:pPr>
            <w:r w:rsidDel="00000000" w:rsidR="00000000" w:rsidRPr="00000000">
              <w:rPr>
                <w:rFonts w:ascii="Gotham" w:cs="Gotham" w:eastAsia="Gotham" w:hAnsi="Gotham"/>
                <w:sz w:val="22"/>
                <w:szCs w:val="22"/>
                <w:rtl w:val="0"/>
              </w:rPr>
              <w:t xml:space="preserve">Complété</w:t>
            </w:r>
            <w:r w:rsidDel="00000000" w:rsidR="00000000" w:rsidRPr="00000000">
              <w:rPr>
                <w:rtl w:val="0"/>
              </w:rPr>
            </w:r>
          </w:p>
          <w:p w:rsidR="00000000" w:rsidDel="00000000" w:rsidP="00000000" w:rsidRDefault="00000000" w:rsidRPr="00000000" w14:paraId="00000195">
            <w:pPr>
              <w:numPr>
                <w:ilvl w:val="0"/>
                <w:numId w:val="2"/>
              </w:numPr>
              <w:pBdr>
                <w:top w:space="0" w:sz="0" w:val="nil"/>
                <w:left w:space="0" w:sz="0" w:val="nil"/>
                <w:bottom w:space="0" w:sz="0" w:val="nil"/>
                <w:right w:space="0" w:sz="0" w:val="nil"/>
                <w:between w:space="0" w:sz="0" w:val="nil"/>
              </w:pBdr>
              <w:spacing w:line="278.00000000000006" w:lineRule="auto"/>
              <w:ind w:left="720" w:hanging="360"/>
              <w:rPr>
                <w:rFonts w:ascii="Gotham" w:cs="Gotham" w:eastAsia="Gotham" w:hAnsi="Gotham"/>
                <w:color w:val="000000"/>
                <w:sz w:val="22"/>
                <w:szCs w:val="22"/>
              </w:rPr>
            </w:pPr>
            <w:r w:rsidDel="00000000" w:rsidR="00000000" w:rsidRPr="00000000">
              <w:rPr>
                <w:rFonts w:ascii="Gotham" w:cs="Gotham" w:eastAsia="Gotham" w:hAnsi="Gotham"/>
                <w:sz w:val="22"/>
                <w:szCs w:val="22"/>
                <w:rtl w:val="0"/>
              </w:rPr>
              <w:t xml:space="preserve">Complété</w:t>
            </w: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spacing w:after="160" w:line="278.00000000000006" w:lineRule="auto"/>
              <w:ind w:left="720" w:firstLine="0"/>
              <w:rPr>
                <w:rFonts w:ascii="Gotham" w:cs="Gotham" w:eastAsia="Gotham" w:hAnsi="Gotham"/>
                <w:color w:val="000000"/>
                <w:sz w:val="22"/>
                <w:szCs w:val="22"/>
              </w:rPr>
            </w:pPr>
            <w:r w:rsidDel="00000000" w:rsidR="00000000" w:rsidRPr="00000000">
              <w:rPr>
                <w:rtl w:val="0"/>
              </w:rPr>
            </w:r>
          </w:p>
        </w:tc>
        <w:tc>
          <w:tcPr/>
          <w:p w:rsidR="00000000" w:rsidDel="00000000" w:rsidP="00000000" w:rsidRDefault="00000000" w:rsidRPr="00000000" w14:paraId="00000197">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25 novembre 2024 – Ouverture du magasin de Gatineau</w:t>
            </w:r>
          </w:p>
        </w:tc>
      </w:tr>
    </w:tbl>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pStyle w:val="Heading3"/>
        <w:rPr/>
      </w:pPr>
      <w:r w:rsidDel="00000000" w:rsidR="00000000" w:rsidRPr="00000000">
        <w:rPr>
          <w:rtl w:val="0"/>
        </w:rPr>
        <w:t xml:space="preserve">PARTIE V – Service à la clientèle</w:t>
      </w:r>
    </w:p>
    <w:tbl>
      <w:tblPr>
        <w:tblStyle w:val="Table5"/>
        <w:tblW w:w="1083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2039"/>
        <w:gridCol w:w="4815"/>
        <w:gridCol w:w="2310"/>
        <w:gridCol w:w="1666"/>
        <w:tblGridChange w:id="0">
          <w:tblGrid>
            <w:gridCol w:w="2039"/>
            <w:gridCol w:w="4815"/>
            <w:gridCol w:w="2310"/>
            <w:gridCol w:w="1666"/>
          </w:tblGrid>
        </w:tblGridChange>
      </w:tblGrid>
      <w:tr>
        <w:trPr>
          <w:cantSplit w:val="0"/>
          <w:tblHeader w:val="0"/>
        </w:trPr>
        <w:tc>
          <w:tcPr/>
          <w:p w:rsidR="00000000" w:rsidDel="00000000" w:rsidP="00000000" w:rsidRDefault="00000000" w:rsidRPr="00000000" w14:paraId="0000019A">
            <w:pPr>
              <w:jc w:val="center"/>
              <w:rPr>
                <w:rFonts w:ascii="Gotham" w:cs="Gotham" w:eastAsia="Gotham" w:hAnsi="Gotham"/>
                <w:sz w:val="22"/>
                <w:szCs w:val="22"/>
              </w:rPr>
            </w:pPr>
            <w:r w:rsidDel="00000000" w:rsidR="00000000" w:rsidRPr="00000000">
              <w:rPr>
                <w:rFonts w:ascii="Gotham" w:cs="Gotham" w:eastAsia="Gotham" w:hAnsi="Gotham"/>
                <w:b w:val="0"/>
                <w:sz w:val="22"/>
                <w:szCs w:val="22"/>
                <w:rtl w:val="0"/>
              </w:rPr>
              <w:t xml:space="preserve">Initiative</w:t>
            </w:r>
            <w:r w:rsidDel="00000000" w:rsidR="00000000" w:rsidRPr="00000000">
              <w:rPr>
                <w:rtl w:val="0"/>
              </w:rPr>
            </w:r>
          </w:p>
        </w:tc>
        <w:tc>
          <w:tcPr/>
          <w:p w:rsidR="00000000" w:rsidDel="00000000" w:rsidP="00000000" w:rsidRDefault="00000000" w:rsidRPr="00000000" w14:paraId="0000019B">
            <w:pPr>
              <w:jc w:val="center"/>
              <w:rPr>
                <w:rFonts w:ascii="Gotham" w:cs="Gotham" w:eastAsia="Gotham" w:hAnsi="Gotham"/>
                <w:sz w:val="22"/>
                <w:szCs w:val="22"/>
              </w:rPr>
            </w:pPr>
            <w:r w:rsidDel="00000000" w:rsidR="00000000" w:rsidRPr="00000000">
              <w:rPr>
                <w:rFonts w:ascii="Gotham" w:cs="Gotham" w:eastAsia="Gotham" w:hAnsi="Gotham"/>
                <w:b w:val="0"/>
                <w:sz w:val="22"/>
                <w:szCs w:val="22"/>
                <w:rtl w:val="0"/>
              </w:rPr>
              <w:t xml:space="preserve">Description</w:t>
            </w:r>
            <w:r w:rsidDel="00000000" w:rsidR="00000000" w:rsidRPr="00000000">
              <w:rPr>
                <w:rtl w:val="0"/>
              </w:rPr>
            </w:r>
          </w:p>
        </w:tc>
        <w:tc>
          <w:tcPr/>
          <w:p w:rsidR="00000000" w:rsidDel="00000000" w:rsidP="00000000" w:rsidRDefault="00000000" w:rsidRPr="00000000" w14:paraId="0000019C">
            <w:pPr>
              <w:jc w:val="center"/>
              <w:rPr>
                <w:rFonts w:ascii="Gotham" w:cs="Gotham" w:eastAsia="Gotham" w:hAnsi="Gotham"/>
                <w:sz w:val="22"/>
                <w:szCs w:val="22"/>
              </w:rPr>
            </w:pPr>
            <w:r w:rsidDel="00000000" w:rsidR="00000000" w:rsidRPr="00000000">
              <w:rPr>
                <w:rFonts w:ascii="Gotham" w:cs="Gotham" w:eastAsia="Gotham" w:hAnsi="Gotham"/>
                <w:b w:val="0"/>
                <w:sz w:val="22"/>
                <w:szCs w:val="22"/>
                <w:rtl w:val="0"/>
              </w:rPr>
              <w:t xml:space="preserve">Action</w:t>
            </w:r>
            <w:r w:rsidDel="00000000" w:rsidR="00000000" w:rsidRPr="00000000">
              <w:rPr>
                <w:rtl w:val="0"/>
              </w:rPr>
            </w:r>
          </w:p>
        </w:tc>
        <w:tc>
          <w:tcPr/>
          <w:p w:rsidR="00000000" w:rsidDel="00000000" w:rsidP="00000000" w:rsidRDefault="00000000" w:rsidRPr="00000000" w14:paraId="0000019D">
            <w:pPr>
              <w:jc w:val="center"/>
              <w:rPr>
                <w:rFonts w:ascii="Gotham" w:cs="Gotham" w:eastAsia="Gotham" w:hAnsi="Gotham"/>
                <w:sz w:val="22"/>
                <w:szCs w:val="22"/>
              </w:rPr>
            </w:pPr>
            <w:r w:rsidDel="00000000" w:rsidR="00000000" w:rsidRPr="00000000">
              <w:rPr>
                <w:rFonts w:ascii="Gotham" w:cs="Gotham" w:eastAsia="Gotham" w:hAnsi="Gotham"/>
                <w:b w:val="0"/>
                <w:sz w:val="22"/>
                <w:szCs w:val="22"/>
                <w:rtl w:val="0"/>
              </w:rPr>
              <w:t xml:space="preserve">Date de conformité - LAPHO</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19E">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Mettre en œuvre la politique de service à la clientèle</w:t>
            </w:r>
          </w:p>
        </w:tc>
        <w:tc>
          <w:tcPr>
            <w:shd w:fill="f3f3f3" w:val="clear"/>
          </w:tcPr>
          <w:p w:rsidR="00000000" w:rsidDel="00000000" w:rsidP="00000000" w:rsidRDefault="00000000" w:rsidRPr="00000000" w14:paraId="000001B8">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80.46(1) En plus des exigences de l’article 3, chaque fournisseur doit élaborer, mettre en œuvre et maintenir des politiques régissant sa fourniture de biens, de services ou d’installations, selon le cas, aux personnes handicapées.</w:t>
            </w:r>
          </w:p>
          <w:p w:rsidR="00000000" w:rsidDel="00000000" w:rsidP="00000000" w:rsidRDefault="00000000" w:rsidRPr="00000000" w14:paraId="000001B9">
            <w:pPr>
              <w:rPr>
                <w:rFonts w:ascii="Gotham" w:cs="Gotham" w:eastAsia="Gotham" w:hAnsi="Gotham"/>
                <w:sz w:val="22"/>
                <w:szCs w:val="22"/>
              </w:rPr>
            </w:pPr>
            <w:r w:rsidDel="00000000" w:rsidR="00000000" w:rsidRPr="00000000">
              <w:rPr>
                <w:rFonts w:ascii="Gotham" w:cs="Gotham" w:eastAsia="Gotham" w:hAnsi="Gotham"/>
                <w:sz w:val="22"/>
                <w:szCs w:val="22"/>
                <w:rtl w:val="0"/>
              </w:rPr>
              <w:br w:type="textWrapping"/>
              <w:t xml:space="preserve">(2) Le fournisseur doit déployer des efforts raisonnables pour garantir que les politiques sont conformes aux principes suivants :</w:t>
            </w:r>
          </w:p>
          <w:p w:rsidR="00000000" w:rsidDel="00000000" w:rsidP="00000000" w:rsidRDefault="00000000" w:rsidRPr="00000000" w14:paraId="000001BA">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BB">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1. Les biens, services ou installations doivent être fournis d’une manière qui respecte la dignité et l’indépendance des personnes handicapées.</w:t>
            </w:r>
          </w:p>
          <w:p w:rsidR="00000000" w:rsidDel="00000000" w:rsidP="00000000" w:rsidRDefault="00000000" w:rsidRPr="00000000" w14:paraId="000001BC">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BD">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2. La fourniture de biens, de services ou d’installations aux personnes handicapées doit être intégrée à la fourniture de biens, de services ou d’installations à d’autres, à moins qu’une mesure alternative ne soit nécessaire, que ce soit de manière temporaire ou permanente, pour permettre à une personne handicapée d’obtenir, d’utiliser ou de bénéficier des biens, des services ou des installations.</w:t>
            </w:r>
          </w:p>
          <w:p w:rsidR="00000000" w:rsidDel="00000000" w:rsidP="00000000" w:rsidRDefault="00000000" w:rsidRPr="00000000" w14:paraId="000001BE">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BF">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3. Les personnes handicapées doivent bénéficier d’une chance égale à celle accordée aux autres pour obtenir, utiliser et bénéficier des biens, services ou installations.</w:t>
            </w:r>
          </w:p>
          <w:p w:rsidR="00000000" w:rsidDel="00000000" w:rsidP="00000000" w:rsidRDefault="00000000" w:rsidRPr="00000000" w14:paraId="000001C0">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C1">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4. Lorsqu’il communique avec une personne handicapée, le prestataire doit le faire d’une manière qui tient compte du handicap de la personne.</w:t>
            </w:r>
          </w:p>
          <w:p w:rsidR="00000000" w:rsidDel="00000000" w:rsidP="00000000" w:rsidRDefault="00000000" w:rsidRPr="00000000" w14:paraId="000001C2">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C3">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C4">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(3) Sans limiter la portée des paragraphes (1) et (2), les politiques doivent traiter de l'utilisation d'appareils fonctionnels par les personnes handicapées pour obtenir, utiliser ou bénéficier des biens, des services ou des installations ou de la disponibilité d'autres mesures, le cas échéant, qui leur permettent de le faire.</w:t>
            </w:r>
          </w:p>
          <w:p w:rsidR="00000000" w:rsidDel="00000000" w:rsidP="00000000" w:rsidRDefault="00000000" w:rsidRPr="00000000" w14:paraId="000001C5">
            <w:pPr>
              <w:rPr>
                <w:rFonts w:ascii="Gotham" w:cs="Gotham" w:eastAsia="Gotham" w:hAnsi="Gotham"/>
                <w:sz w:val="22"/>
                <w:szCs w:val="22"/>
              </w:rPr>
            </w:pPr>
            <w:r w:rsidDel="00000000" w:rsidR="00000000" w:rsidRPr="00000000">
              <w:rPr>
                <w:rtl w:val="0"/>
              </w:rPr>
            </w:r>
          </w:p>
        </w:tc>
        <w:tc>
          <w:tcPr>
            <w:shd w:fill="f3f3f3" w:val="clear"/>
          </w:tcPr>
          <w:p w:rsidR="00000000" w:rsidDel="00000000" w:rsidP="00000000" w:rsidRDefault="00000000" w:rsidRPr="00000000" w14:paraId="000001C6">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Politique identifiée dans le manuel et la formation</w:t>
            </w:r>
          </w:p>
        </w:tc>
        <w:tc>
          <w:tcPr>
            <w:shd w:fill="f3f3f3" w:val="clear"/>
          </w:tcPr>
          <w:p w:rsidR="00000000" w:rsidDel="00000000" w:rsidP="00000000" w:rsidRDefault="00000000" w:rsidRPr="00000000" w14:paraId="000001C7">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11 août 2025 – Lancement du manuel</w:t>
            </w:r>
          </w:p>
        </w:tc>
      </w:tr>
      <w:tr>
        <w:trPr>
          <w:cantSplit w:val="0"/>
          <w:tblHeader w:val="0"/>
        </w:trPr>
        <w:tc>
          <w:tcPr>
            <w:vMerge w:val="continue"/>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tham" w:cs="Gotham" w:eastAsia="Gotham" w:hAnsi="Gotham"/>
                <w:sz w:val="22"/>
                <w:szCs w:val="22"/>
              </w:rPr>
            </w:pPr>
            <w:r w:rsidDel="00000000" w:rsidR="00000000" w:rsidRPr="00000000">
              <w:rPr>
                <w:rtl w:val="0"/>
              </w:rPr>
            </w:r>
          </w:p>
        </w:tc>
        <w:tc>
          <w:tcPr>
            <w:shd w:fill="f3f3f3" w:val="clear"/>
          </w:tcPr>
          <w:p w:rsidR="00000000" w:rsidDel="00000000" w:rsidP="00000000" w:rsidRDefault="00000000" w:rsidRPr="00000000" w14:paraId="000001C9">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(4) Tout fournisseur, autre qu’une petite organisation, doit préparer un ou plusieurs documents décrivant les politiques établies en vertu du présent article et, sur demande, doit remettre une copie de ces documents à toute personne.</w:t>
            </w:r>
          </w:p>
        </w:tc>
        <w:tc>
          <w:tcPr>
            <w:shd w:fill="f3f3f3" w:val="clear"/>
          </w:tcPr>
          <w:p w:rsidR="00000000" w:rsidDel="00000000" w:rsidP="00000000" w:rsidRDefault="00000000" w:rsidRPr="00000000" w14:paraId="000001CA">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Identifié dans le manuel et </w:t>
            </w:r>
            <w:hyperlink r:id="rId21">
              <w:r w:rsidDel="00000000" w:rsidR="00000000" w:rsidRPr="00000000">
                <w:rPr>
                  <w:rFonts w:ascii="Gotham" w:cs="Gotham" w:eastAsia="Gotham" w:hAnsi="Gotham"/>
                  <w:color w:val="1155cc"/>
                  <w:sz w:val="22"/>
                  <w:szCs w:val="22"/>
                  <w:u w:val="single"/>
                  <w:rtl w:val="0"/>
                </w:rPr>
                <w:t xml:space="preserve">la politique sur le site Web</w:t>
              </w:r>
            </w:hyperlink>
            <w:r w:rsidDel="00000000" w:rsidR="00000000" w:rsidRPr="00000000">
              <w:rPr>
                <w:rtl w:val="0"/>
              </w:rPr>
            </w:r>
          </w:p>
        </w:tc>
        <w:tc>
          <w:tcPr>
            <w:shd w:fill="f3f3f3" w:val="clear"/>
          </w:tcPr>
          <w:p w:rsidR="00000000" w:rsidDel="00000000" w:rsidP="00000000" w:rsidRDefault="00000000" w:rsidRPr="00000000" w14:paraId="000001CB">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11 août 2025 – Lancement du manuel</w:t>
            </w:r>
          </w:p>
          <w:p w:rsidR="00000000" w:rsidDel="00000000" w:rsidP="00000000" w:rsidRDefault="00000000" w:rsidRPr="00000000" w14:paraId="000001CC">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CD">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31 juillet 2025 – </w:t>
            </w:r>
            <w:hyperlink r:id="rId22">
              <w:r w:rsidDel="00000000" w:rsidR="00000000" w:rsidRPr="00000000">
                <w:rPr>
                  <w:rFonts w:ascii="Gotham" w:cs="Gotham" w:eastAsia="Gotham" w:hAnsi="Gotham"/>
                  <w:color w:val="1155cc"/>
                  <w:sz w:val="22"/>
                  <w:szCs w:val="22"/>
                  <w:u w:val="single"/>
                  <w:rtl w:val="0"/>
                </w:rPr>
                <w:t xml:space="preserve">Politique sur le site Web,</w:t>
              </w:r>
            </w:hyperlink>
            <w:r w:rsidDel="00000000" w:rsidR="00000000" w:rsidRPr="00000000">
              <w:rPr>
                <w:rFonts w:ascii="Gotham" w:cs="Gotham" w:eastAsia="Gotham" w:hAnsi="Gotham"/>
                <w:sz w:val="22"/>
                <w:szCs w:val="22"/>
                <w:rtl w:val="0"/>
              </w:rPr>
              <w:t xml:space="preserve"> mise à jour le 28 août 2025</w:t>
            </w:r>
          </w:p>
        </w:tc>
      </w:tr>
      <w:tr>
        <w:trPr>
          <w:cantSplit w:val="0"/>
          <w:tblHeader w:val="0"/>
        </w:trPr>
        <w:tc>
          <w:tcPr>
            <w:vMerge w:val="continue"/>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tham" w:cs="Gotham" w:eastAsia="Gotham" w:hAnsi="Gotham"/>
                <w:sz w:val="22"/>
                <w:szCs w:val="22"/>
              </w:rPr>
            </w:pPr>
            <w:r w:rsidDel="00000000" w:rsidR="00000000" w:rsidRPr="00000000">
              <w:rPr>
                <w:rtl w:val="0"/>
              </w:rPr>
            </w:r>
          </w:p>
        </w:tc>
        <w:tc>
          <w:tcPr>
            <w:shd w:fill="f3f3f3" w:val="clear"/>
          </w:tcPr>
          <w:p w:rsidR="00000000" w:rsidDel="00000000" w:rsidP="00000000" w:rsidRDefault="00000000" w:rsidRPr="00000000" w14:paraId="000001CF">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(5) Tout fournisseur, autre qu’une petite organisation, doit aviser les personnes à qui il fournit des biens, des services ou des installations que les documents exigés par le paragraphe (4) sont disponibles sur demande.</w:t>
            </w:r>
          </w:p>
        </w:tc>
        <w:tc>
          <w:tcPr>
            <w:shd w:fill="f3f3f3" w:val="clear"/>
          </w:tcPr>
          <w:p w:rsidR="00000000" w:rsidDel="00000000" w:rsidP="00000000" w:rsidRDefault="00000000" w:rsidRPr="00000000" w14:paraId="000001D0">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Identifié dans </w:t>
            </w:r>
            <w:hyperlink r:id="rId23">
              <w:r w:rsidDel="00000000" w:rsidR="00000000" w:rsidRPr="00000000">
                <w:rPr>
                  <w:rFonts w:ascii="Gotham" w:cs="Gotham" w:eastAsia="Gotham" w:hAnsi="Gotham"/>
                  <w:color w:val="1155cc"/>
                  <w:sz w:val="22"/>
                  <w:szCs w:val="22"/>
                  <w:u w:val="single"/>
                  <w:rtl w:val="0"/>
                </w:rPr>
                <w:t xml:space="preserve">la politique sur le site Web</w:t>
              </w:r>
            </w:hyperlink>
            <w:r w:rsidDel="00000000" w:rsidR="00000000" w:rsidRPr="00000000">
              <w:rPr>
                <w:rtl w:val="0"/>
              </w:rPr>
            </w:r>
          </w:p>
        </w:tc>
        <w:tc>
          <w:tcPr>
            <w:shd w:fill="f3f3f3" w:val="clear"/>
          </w:tcPr>
          <w:p w:rsidR="00000000" w:rsidDel="00000000" w:rsidP="00000000" w:rsidRDefault="00000000" w:rsidRPr="00000000" w14:paraId="000001D1">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31 juillet 2025 – </w:t>
            </w:r>
            <w:hyperlink r:id="rId24">
              <w:r w:rsidDel="00000000" w:rsidR="00000000" w:rsidRPr="00000000">
                <w:rPr>
                  <w:rFonts w:ascii="Gotham" w:cs="Gotham" w:eastAsia="Gotham" w:hAnsi="Gotham"/>
                  <w:color w:val="1155cc"/>
                  <w:sz w:val="22"/>
                  <w:szCs w:val="22"/>
                  <w:u w:val="single"/>
                  <w:rtl w:val="0"/>
                </w:rPr>
                <w:t xml:space="preserve">Politique sur le site Web,</w:t>
              </w:r>
            </w:hyperlink>
            <w:r w:rsidDel="00000000" w:rsidR="00000000" w:rsidRPr="00000000">
              <w:rPr>
                <w:rFonts w:ascii="Gotham" w:cs="Gotham" w:eastAsia="Gotham" w:hAnsi="Gotham"/>
                <w:sz w:val="22"/>
                <w:szCs w:val="22"/>
                <w:rtl w:val="0"/>
              </w:rPr>
              <w:t xml:space="preserve"> mise à jour le 28 août 2025</w:t>
            </w:r>
          </w:p>
          <w:p w:rsidR="00000000" w:rsidDel="00000000" w:rsidP="00000000" w:rsidRDefault="00000000" w:rsidRPr="00000000" w14:paraId="000001D2">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D3">
            <w:pPr>
              <w:rPr>
                <w:rFonts w:ascii="Gotham" w:cs="Gotham" w:eastAsia="Gotham" w:hAnsi="Gotham"/>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D4">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Animaux d'assistance</w:t>
            </w:r>
          </w:p>
        </w:tc>
        <w:tc>
          <w:tcPr/>
          <w:p w:rsidR="00000000" w:rsidDel="00000000" w:rsidP="00000000" w:rsidRDefault="00000000" w:rsidRPr="00000000" w14:paraId="000001D5">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80.47(2) Si une personne handicapée est accompagnée d’un chien-guide ou d’un autre animal d’assistance, le fournisseur doit s’assurer que la personne est autorisée à entrer dans les locaux avec l’animal et à le garder avec elle, à moins que l’animal ne soit autrement exclu des locaux par la loi.</w:t>
            </w:r>
          </w:p>
        </w:tc>
        <w:tc>
          <w:tcPr/>
          <w:p w:rsidR="00000000" w:rsidDel="00000000" w:rsidP="00000000" w:rsidRDefault="00000000" w:rsidRPr="00000000" w14:paraId="000001D6">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Identifié dans le manuel et </w:t>
            </w:r>
            <w:hyperlink r:id="rId25">
              <w:r w:rsidDel="00000000" w:rsidR="00000000" w:rsidRPr="00000000">
                <w:rPr>
                  <w:rFonts w:ascii="Gotham" w:cs="Gotham" w:eastAsia="Gotham" w:hAnsi="Gotham"/>
                  <w:color w:val="1155cc"/>
                  <w:sz w:val="22"/>
                  <w:szCs w:val="22"/>
                  <w:u w:val="single"/>
                  <w:rtl w:val="0"/>
                </w:rPr>
                <w:t xml:space="preserve">la politique sur le site Web</w:t>
              </w:r>
            </w:hyperlink>
            <w:r w:rsidDel="00000000" w:rsidR="00000000" w:rsidRPr="00000000">
              <w:rPr>
                <w:rtl w:val="0"/>
              </w:rPr>
            </w:r>
          </w:p>
        </w:tc>
        <w:tc>
          <w:tcPr/>
          <w:p w:rsidR="00000000" w:rsidDel="00000000" w:rsidP="00000000" w:rsidRDefault="00000000" w:rsidRPr="00000000" w14:paraId="000001D7">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11 août 2025 – Lancement du manuel</w:t>
            </w:r>
          </w:p>
          <w:p w:rsidR="00000000" w:rsidDel="00000000" w:rsidP="00000000" w:rsidRDefault="00000000" w:rsidRPr="00000000" w14:paraId="000001D8">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D9">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31 juillet 2025 – </w:t>
            </w:r>
            <w:hyperlink r:id="rId26">
              <w:r w:rsidDel="00000000" w:rsidR="00000000" w:rsidRPr="00000000">
                <w:rPr>
                  <w:rFonts w:ascii="Gotham" w:cs="Gotham" w:eastAsia="Gotham" w:hAnsi="Gotham"/>
                  <w:color w:val="1155cc"/>
                  <w:sz w:val="22"/>
                  <w:szCs w:val="22"/>
                  <w:u w:val="single"/>
                  <w:rtl w:val="0"/>
                </w:rPr>
                <w:t xml:space="preserve">Politique sur le site Web,</w:t>
              </w:r>
            </w:hyperlink>
            <w:r w:rsidDel="00000000" w:rsidR="00000000" w:rsidRPr="00000000">
              <w:rPr>
                <w:rFonts w:ascii="Gotham" w:cs="Gotham" w:eastAsia="Gotham" w:hAnsi="Gotham"/>
                <w:sz w:val="22"/>
                <w:szCs w:val="22"/>
                <w:rtl w:val="0"/>
              </w:rPr>
              <w:t xml:space="preserve"> mise à jour le 28 août 2025</w:t>
            </w:r>
          </w:p>
        </w:tc>
      </w:tr>
      <w:tr>
        <w:trPr>
          <w:cantSplit w:val="0"/>
          <w:tblHeader w:val="0"/>
        </w:trPr>
        <w:tc>
          <w:tcPr/>
          <w:p w:rsidR="00000000" w:rsidDel="00000000" w:rsidP="00000000" w:rsidRDefault="00000000" w:rsidRPr="00000000" w14:paraId="000001DA">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Personnes de soutien</w:t>
            </w:r>
          </w:p>
        </w:tc>
        <w:tc>
          <w:tcPr/>
          <w:p w:rsidR="00000000" w:rsidDel="00000000" w:rsidP="00000000" w:rsidRDefault="00000000" w:rsidRPr="00000000" w14:paraId="000001DB">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80.47(4) Si une personne handicapée est accompagnée d’une personne de soutien, le fournisseur doit s’assurer que les deux personnes sont autorisées à entrer dans les locaux ensemble et que la personne handicapée n’est pas empêchée d’avoir accès à la personne de soutien pendant qu’elle se trouve dans les locaux.</w:t>
            </w:r>
          </w:p>
          <w:p w:rsidR="00000000" w:rsidDel="00000000" w:rsidP="00000000" w:rsidRDefault="00000000" w:rsidRPr="00000000" w14:paraId="000001DC">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DD">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(5) Le fournisseur peut exiger qu'une personne handicapée soit accompagnée d'une personne de soutien lorsqu'elle se trouve dans les locaux, mais seulement si, après avoir consulté la personne handicapée et examiné les preuves disponibles, le fournisseur détermine que,</w:t>
            </w:r>
          </w:p>
          <w:p w:rsidR="00000000" w:rsidDel="00000000" w:rsidP="00000000" w:rsidRDefault="00000000" w:rsidRPr="00000000" w14:paraId="000001DE">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DF">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a) une personne de soutien est nécessaire pour protéger la santé ou la sécurité de la personne handicapée ou la santé ou la sécurité des autres personnes présentes dans les locaux; et</w:t>
            </w:r>
          </w:p>
          <w:p w:rsidR="00000000" w:rsidDel="00000000" w:rsidP="00000000" w:rsidRDefault="00000000" w:rsidRPr="00000000" w14:paraId="000001E0">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E1">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(b) il n’existe aucun autre moyen raisonnable de protéger la santé ou la sécurité de la personne handicapée et la santé ou la sécurité des autres personnes présentes dans les locaux.</w:t>
            </w:r>
          </w:p>
          <w:p w:rsidR="00000000" w:rsidDel="00000000" w:rsidP="00000000" w:rsidRDefault="00000000" w:rsidRPr="00000000" w14:paraId="000001E2">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E3">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(6) Si un montant est payable pour l'admission d'une personne dans les locaux ou en rapport avec la présence d'une personne dans les locaux, le fournisseur doit s'assurer qu'un avis est donné à l'avance concernant le montant, le cas échéant, payable à l'égard de la personne de soutien.</w:t>
            </w:r>
          </w:p>
          <w:p w:rsidR="00000000" w:rsidDel="00000000" w:rsidP="00000000" w:rsidRDefault="00000000" w:rsidRPr="00000000" w14:paraId="000001E4">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E5">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(7) Si, en vertu du paragraphe (5), le fournisseur exige qu'une personne handicapée soit accompagnée d'une personne de soutien lorsqu'elle se trouve dans les locaux, le fournisseur renonce au paiement du montant, le cas échéant, payable à l'égard de l'admission de la personne de soutien dans les locaux ou en rapport avec la présence de la personne de soutien dans les locaux.</w:t>
            </w:r>
          </w:p>
        </w:tc>
        <w:tc>
          <w:tcPr/>
          <w:p w:rsidR="00000000" w:rsidDel="00000000" w:rsidP="00000000" w:rsidRDefault="00000000" w:rsidRPr="00000000" w14:paraId="000001E6">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Identifié dans le manuel et </w:t>
            </w:r>
            <w:hyperlink r:id="rId27">
              <w:r w:rsidDel="00000000" w:rsidR="00000000" w:rsidRPr="00000000">
                <w:rPr>
                  <w:rFonts w:ascii="Gotham" w:cs="Gotham" w:eastAsia="Gotham" w:hAnsi="Gotham"/>
                  <w:color w:val="1155cc"/>
                  <w:sz w:val="22"/>
                  <w:szCs w:val="22"/>
                  <w:u w:val="single"/>
                  <w:rtl w:val="0"/>
                </w:rPr>
                <w:t xml:space="preserve">la politique sur le site Web</w:t>
              </w:r>
            </w:hyperlink>
            <w:r w:rsidDel="00000000" w:rsidR="00000000" w:rsidRPr="00000000">
              <w:rPr>
                <w:rtl w:val="0"/>
              </w:rPr>
            </w:r>
          </w:p>
        </w:tc>
        <w:tc>
          <w:tcPr/>
          <w:p w:rsidR="00000000" w:rsidDel="00000000" w:rsidP="00000000" w:rsidRDefault="00000000" w:rsidRPr="00000000" w14:paraId="000001E7">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11 août 2025 – Lancement du manuel</w:t>
            </w:r>
          </w:p>
          <w:p w:rsidR="00000000" w:rsidDel="00000000" w:rsidP="00000000" w:rsidRDefault="00000000" w:rsidRPr="00000000" w14:paraId="000001E8">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 </w:t>
            </w:r>
          </w:p>
          <w:p w:rsidR="00000000" w:rsidDel="00000000" w:rsidP="00000000" w:rsidRDefault="00000000" w:rsidRPr="00000000" w14:paraId="000001E9">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EA">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31 juillet 2025 – </w:t>
            </w:r>
            <w:hyperlink r:id="rId28">
              <w:r w:rsidDel="00000000" w:rsidR="00000000" w:rsidRPr="00000000">
                <w:rPr>
                  <w:rFonts w:ascii="Gotham" w:cs="Gotham" w:eastAsia="Gotham" w:hAnsi="Gotham"/>
                  <w:color w:val="1155cc"/>
                  <w:sz w:val="22"/>
                  <w:szCs w:val="22"/>
                  <w:u w:val="single"/>
                  <w:rtl w:val="0"/>
                </w:rPr>
                <w:t xml:space="preserve">Politique sur le site Web,</w:t>
              </w:r>
            </w:hyperlink>
            <w:r w:rsidDel="00000000" w:rsidR="00000000" w:rsidRPr="00000000">
              <w:rPr>
                <w:rFonts w:ascii="Gotham" w:cs="Gotham" w:eastAsia="Gotham" w:hAnsi="Gotham"/>
                <w:sz w:val="22"/>
                <w:szCs w:val="22"/>
                <w:rtl w:val="0"/>
              </w:rPr>
              <w:t xml:space="preserve"> mise à jour le 28 août 2025</w:t>
            </w:r>
          </w:p>
          <w:p w:rsidR="00000000" w:rsidDel="00000000" w:rsidP="00000000" w:rsidRDefault="00000000" w:rsidRPr="00000000" w14:paraId="000001EB">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EC">
            <w:pPr>
              <w:rPr>
                <w:rFonts w:ascii="Gotham" w:cs="Gotham" w:eastAsia="Gotham" w:hAnsi="Gotham"/>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ED">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Avis de perturbations temporaires</w:t>
            </w:r>
          </w:p>
        </w:tc>
        <w:tc>
          <w:tcPr/>
          <w:p w:rsidR="00000000" w:rsidDel="00000000" w:rsidP="00000000" w:rsidRDefault="00000000" w:rsidRPr="00000000" w14:paraId="000001EE">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80.48(1) Si, pour obtenir, utiliser ou bénéficier des biens, des services ou des installations d'un fournisseur, des personnes handicapées utilisent habituellement d'autres installations ou services particuliers du fournisseur et s'il y a une perturbation temporaire de ces autres installations ou services, en tout ou en partie, le fournisseur doit donner avis de la perturbation au public.</w:t>
            </w:r>
          </w:p>
          <w:p w:rsidR="00000000" w:rsidDel="00000000" w:rsidP="00000000" w:rsidRDefault="00000000" w:rsidRPr="00000000" w14:paraId="000001EF">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F0">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(2) L’avis de perturbation doit comprendre la raison de la perturbation, sa durée prévue et une description des installations ou services de remplacement, le cas échéant, qui sont disponibles.</w:t>
            </w:r>
          </w:p>
        </w:tc>
        <w:tc>
          <w:tcPr/>
          <w:p w:rsidR="00000000" w:rsidDel="00000000" w:rsidP="00000000" w:rsidRDefault="00000000" w:rsidRPr="00000000" w14:paraId="000001F1">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F2">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Avis de perturbations temporaires publiés selon les besoins</w:t>
            </w:r>
          </w:p>
        </w:tc>
        <w:tc>
          <w:tcPr/>
          <w:p w:rsidR="00000000" w:rsidDel="00000000" w:rsidP="00000000" w:rsidRDefault="00000000" w:rsidRPr="00000000" w14:paraId="000001F3">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21 juillet 2025 – </w:t>
            </w:r>
            <w:hyperlink r:id="rId29">
              <w:r w:rsidDel="00000000" w:rsidR="00000000" w:rsidRPr="00000000">
                <w:rPr>
                  <w:rFonts w:ascii="Gotham" w:cs="Gotham" w:eastAsia="Gotham" w:hAnsi="Gotham"/>
                  <w:color w:val="1155cc"/>
                  <w:sz w:val="22"/>
                  <w:szCs w:val="22"/>
                  <w:u w:val="single"/>
                  <w:rtl w:val="0"/>
                </w:rPr>
                <w:t xml:space="preserve">Politique sur le site Web</w:t>
              </w:r>
            </w:hyperlink>
            <w:r w:rsidDel="00000000" w:rsidR="00000000" w:rsidRPr="00000000">
              <w:rPr>
                <w:rtl w:val="0"/>
              </w:rPr>
            </w:r>
          </w:p>
        </w:tc>
      </w:tr>
      <w:tr>
        <w:trPr>
          <w:cantSplit w:val="0"/>
          <w:tblHeader w:val="0"/>
        </w:trPr>
        <w:tc>
          <w:tcPr/>
          <w:p w:rsidR="00000000" w:rsidDel="00000000" w:rsidP="00000000" w:rsidRDefault="00000000" w:rsidRPr="00000000" w14:paraId="000001F4">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Formation</w:t>
            </w:r>
          </w:p>
        </w:tc>
        <w:tc>
          <w:tcPr/>
          <w:p w:rsidR="00000000" w:rsidDel="00000000" w:rsidP="00000000" w:rsidRDefault="00000000" w:rsidRPr="00000000" w14:paraId="000001F5">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80.49(1) En plus des exigences de l'article 7, chaque fournisseur doit s'assurer que les personnes suivantes reçoivent une formation sur la fourniture des biens, des services ou des installations du fournisseur, selon le cas, aux personnes handicapées :</w:t>
            </w:r>
          </w:p>
          <w:p w:rsidR="00000000" w:rsidDel="00000000" w:rsidP="00000000" w:rsidRDefault="00000000" w:rsidRPr="00000000" w14:paraId="000001F6">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F7">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1. Toute personne qui est un employé ou un bénévole du fournisseur.</w:t>
            </w:r>
          </w:p>
          <w:p w:rsidR="00000000" w:rsidDel="00000000" w:rsidP="00000000" w:rsidRDefault="00000000" w:rsidRPr="00000000" w14:paraId="000001F8">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F9">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2. Toute personne qui participe à l’élaboration des politiques du fournisseur.</w:t>
            </w:r>
          </w:p>
          <w:p w:rsidR="00000000" w:rsidDel="00000000" w:rsidP="00000000" w:rsidRDefault="00000000" w:rsidRPr="00000000" w14:paraId="000001FA">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FB">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3. Toute autre personne qui fournit des biens, des services ou des installations au nom du fournisseur.</w:t>
            </w:r>
          </w:p>
          <w:p w:rsidR="00000000" w:rsidDel="00000000" w:rsidP="00000000" w:rsidRDefault="00000000" w:rsidRPr="00000000" w14:paraId="000001FC">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FD">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2) La formation doit comprendre un examen des objectifs de la Loi et des exigences de la présente partie, ainsi que des instructions sur les questions suivantes :</w:t>
            </w:r>
          </w:p>
          <w:p w:rsidR="00000000" w:rsidDel="00000000" w:rsidP="00000000" w:rsidRDefault="00000000" w:rsidRPr="00000000" w14:paraId="000001FE">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1FF">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1. Comment interagir et communiquer avec des personnes ayant différents types de handicap.</w:t>
            </w:r>
          </w:p>
          <w:p w:rsidR="00000000" w:rsidDel="00000000" w:rsidP="00000000" w:rsidRDefault="00000000" w:rsidRPr="00000000" w14:paraId="00000200">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201">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2. Comment interagir avec les personnes handicapées qui utilisent un appareil fonctionnel ou qui ont besoin de l’aide d’un chien-guide ou d’un autre animal d’assistance ou de l’aide d’une personne de soutien.</w:t>
            </w:r>
          </w:p>
          <w:p w:rsidR="00000000" w:rsidDel="00000000" w:rsidP="00000000" w:rsidRDefault="00000000" w:rsidRPr="00000000" w14:paraId="00000202">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203">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3. Comment utiliser l'équipement ou les dispositifs disponibles dans les locaux du fournisseur ou autrement fournis par le fournisseur qui peuvent aider à la fourniture de biens, de services ou d'installations à une personne handicapée.</w:t>
            </w:r>
          </w:p>
          <w:p w:rsidR="00000000" w:rsidDel="00000000" w:rsidP="00000000" w:rsidRDefault="00000000" w:rsidRPr="00000000" w14:paraId="00000204">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205">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4. Que faire si une personne ayant un type particulier de handicap a des difficultés à accéder aux biens, aux services ou aux installations du fournisseur.</w:t>
            </w:r>
          </w:p>
        </w:tc>
        <w:tc>
          <w:tcPr/>
          <w:p w:rsidR="00000000" w:rsidDel="00000000" w:rsidP="00000000" w:rsidRDefault="00000000" w:rsidRPr="00000000" w14:paraId="00000206">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Identifié dans le manuel et le programme d'intégration</w:t>
            </w:r>
          </w:p>
        </w:tc>
        <w:tc>
          <w:tcPr/>
          <w:p w:rsidR="00000000" w:rsidDel="00000000" w:rsidP="00000000" w:rsidRDefault="00000000" w:rsidRPr="00000000" w14:paraId="00000207">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11 août 2025 – Lancement du manuel</w:t>
            </w:r>
          </w:p>
          <w:p w:rsidR="00000000" w:rsidDel="00000000" w:rsidP="00000000" w:rsidRDefault="00000000" w:rsidRPr="00000000" w14:paraId="00000208">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 </w:t>
            </w:r>
          </w:p>
          <w:p w:rsidR="00000000" w:rsidDel="00000000" w:rsidP="00000000" w:rsidRDefault="00000000" w:rsidRPr="00000000" w14:paraId="00000209">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20A">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Date à déterminer – Déploiement du programme d'intégration</w:t>
            </w:r>
          </w:p>
          <w:p w:rsidR="00000000" w:rsidDel="00000000" w:rsidP="00000000" w:rsidRDefault="00000000" w:rsidRPr="00000000" w14:paraId="0000020B">
            <w:pPr>
              <w:rPr>
                <w:rFonts w:ascii="Gotham" w:cs="Gotham" w:eastAsia="Gotham" w:hAnsi="Gotham"/>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0C">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Processus de rétroaction</w:t>
            </w:r>
          </w:p>
        </w:tc>
        <w:tc>
          <w:tcPr/>
          <w:p w:rsidR="00000000" w:rsidDel="00000000" w:rsidP="00000000" w:rsidRDefault="00000000" w:rsidRPr="00000000" w14:paraId="0000020D">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80.50(1) Les fournisseurs doivent établir un processus pour recevoir et répondre aux commentaires sur l'accessibilité</w:t>
            </w:r>
          </w:p>
        </w:tc>
        <w:tc>
          <w:tcPr/>
          <w:p w:rsidR="00000000" w:rsidDel="00000000" w:rsidP="00000000" w:rsidRDefault="00000000" w:rsidRPr="00000000" w14:paraId="0000020E">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Processus de rétroaction identifié dans le manuel et </w:t>
            </w:r>
            <w:hyperlink r:id="rId30">
              <w:r w:rsidDel="00000000" w:rsidR="00000000" w:rsidRPr="00000000">
                <w:rPr>
                  <w:rFonts w:ascii="Gotham" w:cs="Gotham" w:eastAsia="Gotham" w:hAnsi="Gotham"/>
                  <w:color w:val="1155cc"/>
                  <w:sz w:val="22"/>
                  <w:szCs w:val="22"/>
                  <w:u w:val="single"/>
                  <w:rtl w:val="0"/>
                </w:rPr>
                <w:t xml:space="preserve">la politique sur le site Web</w:t>
              </w:r>
            </w:hyperlink>
            <w:r w:rsidDel="00000000" w:rsidR="00000000" w:rsidRPr="00000000">
              <w:rPr>
                <w:rtl w:val="0"/>
              </w:rPr>
            </w:r>
          </w:p>
        </w:tc>
        <w:tc>
          <w:tcPr/>
          <w:p w:rsidR="00000000" w:rsidDel="00000000" w:rsidP="00000000" w:rsidRDefault="00000000" w:rsidRPr="00000000" w14:paraId="0000020F">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210">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11 août 2025 – Lancement du manuel</w:t>
            </w:r>
          </w:p>
          <w:p w:rsidR="00000000" w:rsidDel="00000000" w:rsidP="00000000" w:rsidRDefault="00000000" w:rsidRPr="00000000" w14:paraId="00000211">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 </w:t>
            </w:r>
          </w:p>
          <w:p w:rsidR="00000000" w:rsidDel="00000000" w:rsidP="00000000" w:rsidRDefault="00000000" w:rsidRPr="00000000" w14:paraId="00000212">
            <w:pPr>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213">
            <w:pPr>
              <w:rPr>
                <w:rFonts w:ascii="Gotham" w:cs="Gotham" w:eastAsia="Gotham" w:hAnsi="Gotham"/>
                <w:sz w:val="22"/>
                <w:szCs w:val="22"/>
              </w:rPr>
            </w:pPr>
            <w:r w:rsidDel="00000000" w:rsidR="00000000" w:rsidRPr="00000000">
              <w:rPr>
                <w:rFonts w:ascii="Gotham" w:cs="Gotham" w:eastAsia="Gotham" w:hAnsi="Gotham"/>
                <w:sz w:val="22"/>
                <w:szCs w:val="22"/>
                <w:rtl w:val="0"/>
              </w:rPr>
              <w:t xml:space="preserve">31 juillet 2025 – </w:t>
            </w:r>
            <w:hyperlink r:id="rId31">
              <w:r w:rsidDel="00000000" w:rsidR="00000000" w:rsidRPr="00000000">
                <w:rPr>
                  <w:rFonts w:ascii="Gotham" w:cs="Gotham" w:eastAsia="Gotham" w:hAnsi="Gotham"/>
                  <w:color w:val="1155cc"/>
                  <w:sz w:val="22"/>
                  <w:szCs w:val="22"/>
                  <w:u w:val="single"/>
                  <w:rtl w:val="0"/>
                </w:rPr>
                <w:t xml:space="preserve">Politique sur le site Web,</w:t>
              </w:r>
            </w:hyperlink>
            <w:r w:rsidDel="00000000" w:rsidR="00000000" w:rsidRPr="00000000">
              <w:rPr>
                <w:rFonts w:ascii="Gotham" w:cs="Gotham" w:eastAsia="Gotham" w:hAnsi="Gotham"/>
                <w:sz w:val="22"/>
                <w:szCs w:val="22"/>
                <w:rtl w:val="0"/>
              </w:rPr>
              <w:t xml:space="preserve"> mise à jour le 28 août 2025</w:t>
            </w:r>
          </w:p>
          <w:p w:rsidR="00000000" w:rsidDel="00000000" w:rsidP="00000000" w:rsidRDefault="00000000" w:rsidRPr="00000000" w14:paraId="00000214">
            <w:pPr>
              <w:rPr>
                <w:rFonts w:ascii="Gotham" w:cs="Gotham" w:eastAsia="Gotham" w:hAnsi="Gotham"/>
                <w:sz w:val="22"/>
                <w:szCs w:val="22"/>
              </w:rPr>
            </w:pPr>
            <w:r w:rsidDel="00000000" w:rsidR="00000000" w:rsidRPr="00000000">
              <w:rPr>
                <w:rtl w:val="0"/>
              </w:rPr>
            </w:r>
          </w:p>
        </w:tc>
      </w:tr>
    </w:tbl>
    <w:p w:rsidR="00000000" w:rsidDel="00000000" w:rsidP="00000000" w:rsidRDefault="00000000" w:rsidRPr="00000000" w14:paraId="00000215">
      <w:pPr>
        <w:keepNext w:val="1"/>
        <w:keepLines w:val="1"/>
        <w:pBdr>
          <w:top w:space="0" w:sz="0" w:val="nil"/>
          <w:left w:space="0" w:sz="0" w:val="nil"/>
          <w:bottom w:space="0" w:sz="0" w:val="nil"/>
          <w:right w:space="0" w:sz="0" w:val="nil"/>
          <w:between w:space="0" w:sz="0" w:val="nil"/>
        </w:pBdr>
        <w:spacing w:after="0" w:lineRule="auto"/>
        <w:jc w:val="both"/>
        <w:rPr>
          <w:rFonts w:ascii="Gotham" w:cs="Gotham" w:eastAsia="Gotham" w:hAnsi="Gotham"/>
          <w:color w:val="000000"/>
          <w:sz w:val="22"/>
          <w:szCs w:val="22"/>
        </w:rPr>
      </w:pPr>
      <w:r w:rsidDel="00000000" w:rsidR="00000000" w:rsidRPr="00000000">
        <w:rPr>
          <w:rtl w:val="0"/>
        </w:rPr>
      </w:r>
    </w:p>
    <w:p w:rsidR="00000000" w:rsidDel="00000000" w:rsidP="00000000" w:rsidRDefault="00000000" w:rsidRPr="00000000" w14:paraId="00000216">
      <w:pPr>
        <w:pStyle w:val="Heading3"/>
        <w:rPr/>
      </w:pPr>
      <w:r w:rsidDel="00000000" w:rsidR="00000000" w:rsidRPr="00000000">
        <w:rPr>
          <w:rtl w:val="0"/>
        </w:rPr>
        <w:t xml:space="preserve">SUIVI, RAPPORTS ET EXAMEN</w:t>
      </w:r>
    </w:p>
    <w:p w:rsidR="00000000" w:rsidDel="00000000" w:rsidP="00000000" w:rsidRDefault="00000000" w:rsidRPr="00000000" w14:paraId="00000217">
      <w:pPr>
        <w:pBdr>
          <w:top w:space="0" w:sz="0" w:val="nil"/>
          <w:left w:space="0" w:sz="0" w:val="nil"/>
          <w:bottom w:space="0" w:sz="0" w:val="nil"/>
          <w:right w:space="0" w:sz="0" w:val="nil"/>
          <w:between w:space="0" w:sz="0" w:val="nil"/>
        </w:pBdr>
        <w:spacing w:line="240" w:lineRule="auto"/>
        <w:jc w:val="both"/>
        <w:rPr>
          <w:rFonts w:ascii="Gotham" w:cs="Gotham" w:eastAsia="Gotham" w:hAnsi="Gotham"/>
          <w:color w:val="000000"/>
          <w:sz w:val="22"/>
          <w:szCs w:val="22"/>
        </w:rPr>
      </w:pPr>
      <w:r w:rsidDel="00000000" w:rsidR="00000000" w:rsidRPr="00000000">
        <w:rPr>
          <w:rFonts w:ascii="Gotham" w:cs="Gotham" w:eastAsia="Gotham" w:hAnsi="Gotham"/>
          <w:color w:val="000000"/>
          <w:sz w:val="22"/>
          <w:szCs w:val="22"/>
          <w:rtl w:val="0"/>
        </w:rPr>
        <w:t xml:space="preserve">Les progrès réalisés par rapport à ce plan sont évalués tous les cinq ans et, si nécessaire, par la direction générale, et mis à jour en fonction des exigences législatives ou des changements opérationnels. Le suivi des progrès s'effectue au moyen des mesures suivantes :</w:t>
      </w:r>
    </w:p>
    <w:p w:rsidR="00000000" w:rsidDel="00000000" w:rsidP="00000000" w:rsidRDefault="00000000" w:rsidRPr="00000000" w14:paraId="00000218">
      <w:pPr>
        <w:numPr>
          <w:ilvl w:val="0"/>
          <w:numId w:val="1"/>
        </w:numPr>
        <w:spacing w:after="0" w:before="280" w:line="240" w:lineRule="auto"/>
        <w:ind w:left="720" w:hanging="360"/>
        <w:jc w:val="both"/>
        <w:rPr>
          <w:rFonts w:ascii="Gotham" w:cs="Gotham" w:eastAsia="Gotham" w:hAnsi="Gotham"/>
          <w:sz w:val="22"/>
          <w:szCs w:val="22"/>
        </w:rPr>
      </w:pPr>
      <w:r w:rsidDel="00000000" w:rsidR="00000000" w:rsidRPr="00000000">
        <w:rPr>
          <w:rFonts w:ascii="Gotham" w:cs="Gotham" w:eastAsia="Gotham" w:hAnsi="Gotham"/>
          <w:sz w:val="22"/>
          <w:szCs w:val="22"/>
          <w:rtl w:val="0"/>
        </w:rPr>
        <w:t xml:space="preserve">Audits d'accessibilité réguliers réalisés par du personnel qualifié</w:t>
      </w:r>
    </w:p>
    <w:p w:rsidR="00000000" w:rsidDel="00000000" w:rsidP="00000000" w:rsidRDefault="00000000" w:rsidRPr="00000000" w14:paraId="00000219">
      <w:pPr>
        <w:numPr>
          <w:ilvl w:val="0"/>
          <w:numId w:val="1"/>
        </w:numPr>
        <w:spacing w:after="0" w:line="240" w:lineRule="auto"/>
        <w:ind w:left="720" w:hanging="360"/>
        <w:jc w:val="both"/>
        <w:rPr>
          <w:rFonts w:ascii="Gotham" w:cs="Gotham" w:eastAsia="Gotham" w:hAnsi="Gotham"/>
          <w:sz w:val="22"/>
          <w:szCs w:val="22"/>
        </w:rPr>
      </w:pPr>
      <w:r w:rsidDel="00000000" w:rsidR="00000000" w:rsidRPr="00000000">
        <w:rPr>
          <w:rFonts w:ascii="Gotham" w:cs="Gotham" w:eastAsia="Gotham" w:hAnsi="Gotham"/>
          <w:sz w:val="22"/>
          <w:szCs w:val="22"/>
          <w:rtl w:val="0"/>
        </w:rPr>
        <w:t xml:space="preserve">Analyse des commentaires des clients et suivi des réponses</w:t>
      </w:r>
    </w:p>
    <w:p w:rsidR="00000000" w:rsidDel="00000000" w:rsidP="00000000" w:rsidRDefault="00000000" w:rsidRPr="00000000" w14:paraId="0000021A">
      <w:pPr>
        <w:numPr>
          <w:ilvl w:val="0"/>
          <w:numId w:val="1"/>
        </w:numPr>
        <w:spacing w:after="0" w:line="240" w:lineRule="auto"/>
        <w:ind w:left="720" w:hanging="360"/>
        <w:jc w:val="both"/>
        <w:rPr>
          <w:rFonts w:ascii="Gotham" w:cs="Gotham" w:eastAsia="Gotham" w:hAnsi="Gotham"/>
          <w:sz w:val="22"/>
          <w:szCs w:val="22"/>
        </w:rPr>
      </w:pPr>
      <w:r w:rsidDel="00000000" w:rsidR="00000000" w:rsidRPr="00000000">
        <w:rPr>
          <w:rFonts w:ascii="Gotham" w:cs="Gotham" w:eastAsia="Gotham" w:hAnsi="Gotham"/>
          <w:sz w:val="22"/>
          <w:szCs w:val="22"/>
          <w:rtl w:val="0"/>
        </w:rPr>
        <w:t xml:space="preserve">Suivi de la conformité de la formation des employés</w:t>
      </w:r>
    </w:p>
    <w:p w:rsidR="00000000" w:rsidDel="00000000" w:rsidP="00000000" w:rsidRDefault="00000000" w:rsidRPr="00000000" w14:paraId="0000021B">
      <w:pPr>
        <w:numPr>
          <w:ilvl w:val="0"/>
          <w:numId w:val="1"/>
        </w:numPr>
        <w:spacing w:after="0" w:line="240" w:lineRule="auto"/>
        <w:ind w:left="720" w:hanging="360"/>
        <w:jc w:val="both"/>
        <w:rPr>
          <w:rFonts w:ascii="Gotham" w:cs="Gotham" w:eastAsia="Gotham" w:hAnsi="Gotham"/>
          <w:sz w:val="22"/>
          <w:szCs w:val="22"/>
        </w:rPr>
      </w:pPr>
      <w:r w:rsidDel="00000000" w:rsidR="00000000" w:rsidRPr="00000000">
        <w:rPr>
          <w:rFonts w:ascii="Gotham" w:cs="Gotham" w:eastAsia="Gotham" w:hAnsi="Gotham"/>
          <w:sz w:val="22"/>
          <w:szCs w:val="22"/>
          <w:rtl w:val="0"/>
        </w:rPr>
        <w:t xml:space="preserve">Inspections des fonctionnalités d'accessibilité physique</w:t>
      </w:r>
    </w:p>
    <w:p w:rsidR="00000000" w:rsidDel="00000000" w:rsidP="00000000" w:rsidRDefault="00000000" w:rsidRPr="00000000" w14:paraId="0000021C">
      <w:pPr>
        <w:numPr>
          <w:ilvl w:val="0"/>
          <w:numId w:val="1"/>
        </w:numPr>
        <w:spacing w:after="0" w:line="240" w:lineRule="auto"/>
        <w:ind w:left="720" w:hanging="360"/>
        <w:jc w:val="both"/>
        <w:rPr>
          <w:rFonts w:ascii="Gotham" w:cs="Gotham" w:eastAsia="Gotham" w:hAnsi="Gotham"/>
          <w:sz w:val="22"/>
          <w:szCs w:val="22"/>
        </w:rPr>
      </w:pPr>
      <w:r w:rsidDel="00000000" w:rsidR="00000000" w:rsidRPr="00000000">
        <w:rPr>
          <w:rFonts w:ascii="Gotham" w:cs="Gotham" w:eastAsia="Gotham" w:hAnsi="Gotham"/>
          <w:sz w:val="22"/>
          <w:szCs w:val="22"/>
          <w:rtl w:val="0"/>
        </w:rPr>
        <w:t xml:space="preserve">Examen des demandes d'adaptation et des résultats</w:t>
      </w:r>
    </w:p>
    <w:p w:rsidR="00000000" w:rsidDel="00000000" w:rsidP="00000000" w:rsidRDefault="00000000" w:rsidRPr="00000000" w14:paraId="0000021D">
      <w:pPr>
        <w:numPr>
          <w:ilvl w:val="0"/>
          <w:numId w:val="1"/>
        </w:numPr>
        <w:spacing w:after="280" w:line="240" w:lineRule="auto"/>
        <w:ind w:left="720" w:hanging="360"/>
        <w:jc w:val="both"/>
        <w:rPr>
          <w:rFonts w:ascii="Gotham" w:cs="Gotham" w:eastAsia="Gotham" w:hAnsi="Gotham"/>
          <w:sz w:val="22"/>
          <w:szCs w:val="22"/>
        </w:rPr>
      </w:pPr>
      <w:r w:rsidDel="00000000" w:rsidR="00000000" w:rsidRPr="00000000">
        <w:rPr>
          <w:rFonts w:ascii="Gotham" w:cs="Gotham" w:eastAsia="Gotham" w:hAnsi="Gotham"/>
          <w:sz w:val="22"/>
          <w:szCs w:val="22"/>
          <w:rtl w:val="0"/>
        </w:rPr>
        <w:t xml:space="preserve">Consultation avec des experts en accessibilité en cas de besoin</w:t>
      </w:r>
    </w:p>
    <w:p w:rsidR="00000000" w:rsidDel="00000000" w:rsidP="00000000" w:rsidRDefault="00000000" w:rsidRPr="00000000" w14:paraId="0000021E">
      <w:pPr>
        <w:pBdr>
          <w:top w:space="0" w:sz="0" w:val="nil"/>
          <w:left w:space="0" w:sz="0" w:val="nil"/>
          <w:bottom w:space="0" w:sz="0" w:val="nil"/>
          <w:right w:space="0" w:sz="0" w:val="nil"/>
          <w:between w:space="0" w:sz="0" w:val="nil"/>
        </w:pBdr>
        <w:spacing w:line="240" w:lineRule="auto"/>
        <w:jc w:val="both"/>
        <w:rPr>
          <w:rFonts w:ascii="Gotham" w:cs="Gotham" w:eastAsia="Gotham" w:hAnsi="Gotham"/>
          <w:color w:val="000000"/>
          <w:sz w:val="22"/>
          <w:szCs w:val="22"/>
        </w:rPr>
      </w:pPr>
      <w:r w:rsidDel="00000000" w:rsidR="00000000" w:rsidRPr="00000000">
        <w:rPr>
          <w:rFonts w:ascii="Gotham" w:cs="Gotham" w:eastAsia="Gotham" w:hAnsi="Gotham"/>
          <w:color w:val="000000"/>
          <w:sz w:val="22"/>
          <w:szCs w:val="22"/>
          <w:rtl w:val="0"/>
        </w:rPr>
        <w:t xml:space="preserve">Nous conservons des enregistrements de toutes les améliorations d’accessibilité, de l’achèvement des formations et des commentaires reçus pour garantir une amélioration continue.</w:t>
      </w:r>
    </w:p>
    <w:p w:rsidR="00000000" w:rsidDel="00000000" w:rsidP="00000000" w:rsidRDefault="00000000" w:rsidRPr="00000000" w14:paraId="0000021F">
      <w:pPr>
        <w:spacing w:after="280" w:line="240" w:lineRule="auto"/>
        <w:jc w:val="both"/>
        <w:rPr>
          <w:rFonts w:ascii="Gotham" w:cs="Gotham" w:eastAsia="Gotham" w:hAnsi="Gotham"/>
          <w:sz w:val="22"/>
          <w:szCs w:val="22"/>
        </w:rPr>
      </w:pPr>
      <w:r w:rsidDel="00000000" w:rsidR="00000000" w:rsidRPr="00000000">
        <w:rPr>
          <w:rtl w:val="0"/>
        </w:rPr>
      </w:r>
    </w:p>
    <w:p w:rsidR="00000000" w:rsidDel="00000000" w:rsidP="00000000" w:rsidRDefault="00000000" w:rsidRPr="00000000" w14:paraId="0000022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b w:val="1"/>
          <w:color w:val="000000"/>
        </w:rPr>
      </w:pPr>
      <w:r w:rsidDel="00000000" w:rsidR="00000000" w:rsidRPr="00000000">
        <w:rPr>
          <w:rFonts w:ascii="Gotham" w:cs="Gotham" w:eastAsia="Gotham" w:hAnsi="Gotham"/>
          <w:b w:val="1"/>
          <w:color w:val="000000"/>
          <w:sz w:val="22"/>
          <w:szCs w:val="22"/>
          <w:rtl w:val="0"/>
        </w:rPr>
        <w:t xml:space="preserve">Prochaine date de révision : 1er décembre 2028</w:t>
      </w:r>
      <w:r w:rsidDel="00000000" w:rsidR="00000000" w:rsidRPr="00000000">
        <w:rPr>
          <w:rtl w:val="0"/>
        </w:rPr>
      </w:r>
    </w:p>
    <w:sectPr>
      <w:headerReference r:id="rId32" w:type="default"/>
      <w:headerReference r:id="rId33" w:type="first"/>
      <w:footerReference r:id="rId34" w:type="first"/>
      <w:pgSz w:h="15840" w:w="12240" w:orient="portrait"/>
      <w:pgMar w:bottom="720" w:top="720" w:left="720" w:right="72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Gotham"/>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b w:val="1"/>
        <w:color w:val="000000"/>
        <w:sz w:val="2"/>
        <w:szCs w:val="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2">
    <w:pPr>
      <w:tabs>
        <w:tab w:val="center" w:leader="none" w:pos="4680"/>
        <w:tab w:val="right" w:leader="none" w:pos="9360"/>
      </w:tabs>
      <w:spacing w:after="0" w:line="240" w:lineRule="auto"/>
      <w:rPr>
        <w:b w:val="1"/>
        <w:sz w:val="32"/>
        <w:szCs w:val="32"/>
      </w:rPr>
    </w:pPr>
    <w:r w:rsidDel="00000000" w:rsidR="00000000" w:rsidRPr="00000000">
      <w:rPr>
        <w:b w:val="1"/>
        <w:sz w:val="32"/>
        <w:szCs w:val="32"/>
        <w:rtl w:val="0"/>
      </w:rPr>
      <w:t xml:space="preserve">Plan d'accessibilité pluriannuel LZB</w:t>
    </w:r>
  </w:p>
  <w:p w:rsidR="00000000" w:rsidDel="00000000" w:rsidP="00000000" w:rsidRDefault="00000000" w:rsidRPr="00000000" w14:paraId="00000223">
    <w:pPr>
      <w:tabs>
        <w:tab w:val="center" w:leader="none" w:pos="4680"/>
        <w:tab w:val="right" w:leader="none" w:pos="9360"/>
      </w:tabs>
      <w:spacing w:after="0" w:line="240" w:lineRule="auto"/>
      <w:rPr>
        <w:sz w:val="8"/>
        <w:szCs w:val="8"/>
      </w:rPr>
    </w:pPr>
    <w:r w:rsidDel="00000000" w:rsidR="00000000" w:rsidRPr="00000000">
      <w:rPr>
        <w:sz w:val="15"/>
        <w:szCs w:val="15"/>
        <w:rtl w:val="0"/>
      </w:rPr>
      <w:t xml:space="preserve">Dernière </w:t>
    </w:r>
    <w:r w:rsidDel="00000000" w:rsidR="00000000" w:rsidRPr="00000000">
      <w:rPr>
        <w:sz w:val="15"/>
        <w:szCs w:val="15"/>
        <w:rtl w:val="0"/>
      </w:rPr>
      <w:t xml:space="preserve">mise à jour </w:t>
    </w:r>
    <w:r w:rsidDel="00000000" w:rsidR="00000000" w:rsidRPr="00000000">
      <w:rPr>
        <w:i w:val="1"/>
        <w:sz w:val="15"/>
        <w:szCs w:val="15"/>
        <w:rtl w:val="0"/>
      </w:rPr>
      <w:t xml:space="preserve">: 28 août 2025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fr"/>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hd w:fill="002060" w:val="clear"/>
      <w:spacing w:after="0" w:lineRule="auto"/>
      <w:jc w:val="both"/>
    </w:pPr>
    <w:rPr>
      <w:rFonts w:ascii="Gotham" w:cs="Gotham" w:eastAsia="Gotham" w:hAnsi="Gotham"/>
      <w:color w:val="ffffff"/>
      <w:sz w:val="22"/>
      <w:szCs w:val="22"/>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C3392A"/>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C3392A"/>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C3392A"/>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table" w:styleId="TableNormal1" w:customStyle="1">
    <w:name w:val="TableNormal"/>
    <w:tblPr>
      <w:tblCellMar>
        <w:top w:w="0.0" w:type="dxa"/>
        <w:left w:w="0.0" w:type="dxa"/>
        <w:bottom w:w="0.0" w:type="dxa"/>
        <w:right w:w="0.0" w:type="dxa"/>
      </w:tblCellMar>
    </w:tblPr>
  </w:style>
  <w:style w:type="table" w:styleId="TableNormal2" w:customStyle="1">
    <w:name w:val="TableNormal"/>
    <w:tblPr>
      <w:tblCellMar>
        <w:top w:w="0.0" w:type="dxa"/>
        <w:left w:w="0.0" w:type="dxa"/>
        <w:bottom w:w="0.0" w:type="dxa"/>
        <w:right w:w="0.0" w:type="dxa"/>
      </w:tblCellMar>
    </w:tblPr>
  </w:style>
  <w:style w:type="table" w:styleId="TableNormal3" w:customStyle="1">
    <w:name w:val="TableNormal"/>
    <w:tblPr>
      <w:tblCellMar>
        <w:top w:w="0.0" w:type="dxa"/>
        <w:left w:w="0.0" w:type="dxa"/>
        <w:bottom w:w="0.0" w:type="dxa"/>
        <w:right w:w="0.0" w:type="dxa"/>
      </w:tblCellMar>
    </w:tblPr>
  </w:style>
  <w:style w:type="character" w:styleId="Heading1Char" w:customStyle="1">
    <w:name w:val="Heading 1 Char"/>
    <w:basedOn w:val="DefaultParagraphFont"/>
    <w:link w:val="Heading1"/>
    <w:uiPriority w:val="9"/>
    <w:rsid w:val="00C3392A"/>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sid w:val="00C3392A"/>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sid w:val="00CC2C5C"/>
    <w:rPr>
      <w:rFonts w:ascii="Gotham" w:cs="Gotham" w:eastAsia="Gotham" w:hAnsi="Gotham"/>
      <w:color w:val="ffffff"/>
      <w:sz w:val="22"/>
      <w:szCs w:val="22"/>
      <w:shd w:color="auto" w:fill="002060" w:val="clear"/>
    </w:rPr>
  </w:style>
  <w:style w:type="character" w:styleId="Heading4Char" w:customStyle="1">
    <w:name w:val="Heading 4 Char"/>
    <w:basedOn w:val="DefaultParagraphFont"/>
    <w:link w:val="Heading4"/>
    <w:uiPriority w:val="9"/>
    <w:semiHidden w:val="1"/>
    <w:rsid w:val="00C3392A"/>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C3392A"/>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C3392A"/>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C3392A"/>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C3392A"/>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C3392A"/>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C3392A"/>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C3392A"/>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C3392A"/>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C3392A"/>
    <w:rPr>
      <w:i w:val="1"/>
      <w:iCs w:val="1"/>
      <w:color w:val="404040" w:themeColor="text1" w:themeTint="0000BF"/>
    </w:rPr>
  </w:style>
  <w:style w:type="paragraph" w:styleId="ListParagraph">
    <w:name w:val="List Paragraph"/>
    <w:basedOn w:val="Normal"/>
    <w:uiPriority w:val="34"/>
    <w:qFormat w:val="1"/>
    <w:rsid w:val="00C3392A"/>
    <w:pPr>
      <w:ind w:left="720"/>
      <w:contextualSpacing w:val="1"/>
    </w:pPr>
  </w:style>
  <w:style w:type="character" w:styleId="IntenseEmphasis">
    <w:name w:val="Intense Emphasis"/>
    <w:basedOn w:val="DefaultParagraphFont"/>
    <w:uiPriority w:val="21"/>
    <w:qFormat w:val="1"/>
    <w:rsid w:val="00C3392A"/>
    <w:rPr>
      <w:i w:val="1"/>
      <w:iCs w:val="1"/>
      <w:color w:val="0f4761" w:themeColor="accent1" w:themeShade="0000BF"/>
    </w:rPr>
  </w:style>
  <w:style w:type="paragraph" w:styleId="IntenseQuote">
    <w:name w:val="Intense Quote"/>
    <w:basedOn w:val="Normal"/>
    <w:next w:val="Normal"/>
    <w:link w:val="IntenseQuoteChar"/>
    <w:uiPriority w:val="30"/>
    <w:qFormat w:val="1"/>
    <w:rsid w:val="00C3392A"/>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C3392A"/>
    <w:rPr>
      <w:i w:val="1"/>
      <w:iCs w:val="1"/>
      <w:color w:val="0f4761" w:themeColor="accent1" w:themeShade="0000BF"/>
    </w:rPr>
  </w:style>
  <w:style w:type="character" w:styleId="IntenseReference">
    <w:name w:val="Intense Reference"/>
    <w:basedOn w:val="DefaultParagraphFont"/>
    <w:uiPriority w:val="32"/>
    <w:qFormat w:val="1"/>
    <w:rsid w:val="00C3392A"/>
    <w:rPr>
      <w:b w:val="1"/>
      <w:bCs w:val="1"/>
      <w:smallCaps w:val="1"/>
      <w:color w:val="0f4761" w:themeColor="accent1" w:themeShade="0000BF"/>
      <w:spacing w:val="5"/>
    </w:rPr>
  </w:style>
  <w:style w:type="paragraph" w:styleId="NormalWeb">
    <w:name w:val="Normal (Web)"/>
    <w:basedOn w:val="Normal"/>
    <w:uiPriority w:val="99"/>
    <w:semiHidden w:val="1"/>
    <w:unhideWhenUsed w:val="1"/>
    <w:rsid w:val="00C3392A"/>
    <w:pPr>
      <w:spacing w:after="100" w:afterAutospacing="1" w:before="100" w:beforeAutospacing="1" w:line="240" w:lineRule="auto"/>
    </w:pPr>
    <w:rPr>
      <w:rFonts w:ascii="Times New Roman" w:cs="Times New Roman" w:eastAsia="Times New Roman" w:hAnsi="Times New Roman"/>
    </w:rPr>
  </w:style>
  <w:style w:type="character" w:styleId="Hyperlink">
    <w:name w:val="Hyperlink"/>
    <w:basedOn w:val="DefaultParagraphFont"/>
    <w:uiPriority w:val="99"/>
    <w:unhideWhenUsed w:val="1"/>
    <w:rsid w:val="00C3392A"/>
    <w:rPr>
      <w:color w:val="0000ff"/>
      <w:u w:val="single"/>
    </w:rPr>
  </w:style>
  <w:style w:type="paragraph" w:styleId="Header">
    <w:name w:val="header"/>
    <w:basedOn w:val="Normal"/>
    <w:link w:val="HeaderChar"/>
    <w:uiPriority w:val="99"/>
    <w:unhideWhenUsed w:val="1"/>
    <w:rsid w:val="00C3392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3392A"/>
  </w:style>
  <w:style w:type="paragraph" w:styleId="Footer">
    <w:name w:val="footer"/>
    <w:basedOn w:val="Normal"/>
    <w:link w:val="FooterChar"/>
    <w:uiPriority w:val="99"/>
    <w:unhideWhenUsed w:val="1"/>
    <w:rsid w:val="00C3392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3392A"/>
  </w:style>
  <w:style w:type="character" w:styleId="Strong">
    <w:name w:val="Strong"/>
    <w:basedOn w:val="DefaultParagraphFont"/>
    <w:uiPriority w:val="22"/>
    <w:qFormat w:val="1"/>
    <w:rsid w:val="00F0691C"/>
    <w:rPr>
      <w:b w:val="1"/>
      <w:bCs w:val="1"/>
    </w:rPr>
  </w:style>
  <w:style w:type="paragraph" w:styleId="Header1" w:customStyle="1">
    <w:name w:val="Header1"/>
    <w:basedOn w:val="Heading3"/>
    <w:qFormat w:val="1"/>
    <w:rsid w:val="00E75734"/>
    <w:rPr>
      <w:rFonts w:cs="Play" w:eastAsia="Play"/>
      <w:color w:val="002060"/>
    </w:rPr>
  </w:style>
  <w:style w:type="table" w:styleId="TableGridLight">
    <w:name w:val="Grid Table Light"/>
    <w:basedOn w:val="TableNormal"/>
    <w:uiPriority w:val="40"/>
    <w:rsid w:val="00D21D02"/>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name w:val="Plain Table 1"/>
    <w:basedOn w:val="TableNormal"/>
    <w:uiPriority w:val="41"/>
    <w:rsid w:val="00D21D02"/>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3">
    <w:name w:val="Plain Table 3"/>
    <w:basedOn w:val="TableNormal"/>
    <w:uiPriority w:val="43"/>
    <w:rsid w:val="00D21D02"/>
    <w:pPr>
      <w:spacing w:after="0" w:line="240" w:lineRule="auto"/>
    </w:p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name w:val="Plain Table 4"/>
    <w:basedOn w:val="TableNormal"/>
    <w:uiPriority w:val="44"/>
    <w:rsid w:val="00D21D02"/>
    <w:pPr>
      <w:spacing w:after="0"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5">
    <w:name w:val="Plain Table 5"/>
    <w:basedOn w:val="TableNormal"/>
    <w:uiPriority w:val="45"/>
    <w:rsid w:val="00D21D02"/>
    <w:pPr>
      <w:spacing w:after="0" w:line="240" w:lineRule="auto"/>
    </w:pPr>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GridTable1Light">
    <w:name w:val="Grid Table 1 Light"/>
    <w:basedOn w:val="TableNormal"/>
    <w:uiPriority w:val="46"/>
    <w:rsid w:val="00D21D02"/>
    <w:pPr>
      <w:spacing w:after="0" w:line="240" w:lineRule="auto"/>
    </w:p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character" w:styleId="UnresolvedMention">
    <w:name w:val="Unresolved Mention"/>
    <w:basedOn w:val="DefaultParagraphFont"/>
    <w:uiPriority w:val="99"/>
    <w:semiHidden w:val="1"/>
    <w:unhideWhenUsed w:val="1"/>
    <w:rsid w:val="00494474"/>
    <w:rPr>
      <w:color w:val="605e5c"/>
      <w:shd w:color="auto" w:fill="e1dfdd" w:val="clear"/>
    </w:rPr>
  </w:style>
  <w:style w:type="table" w:styleId="a" w:customStyle="1">
    <w:basedOn w:val="TableNormal"/>
    <w:pPr>
      <w:spacing w:after="0" w:line="240" w:lineRule="auto"/>
    </w:pPr>
    <w:tblPr>
      <w:tblStyleRowBandSize w:val="1"/>
      <w:tblStyleColBandSize w:val="1"/>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0" w:customStyle="1">
    <w:basedOn w:val="TableNormal"/>
    <w:pPr>
      <w:spacing w:after="0" w:line="240" w:lineRule="auto"/>
    </w:pPr>
    <w:tblPr>
      <w:tblStyleRowBandSize w:val="1"/>
      <w:tblStyleColBandSize w:val="1"/>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1" w:customStyle="1">
    <w:basedOn w:val="TableNormal"/>
    <w:pPr>
      <w:spacing w:after="0" w:line="240" w:lineRule="auto"/>
    </w:pPr>
    <w:tblPr>
      <w:tblStyleRowBandSize w:val="1"/>
      <w:tblStyleColBandSize w:val="1"/>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2" w:customStyle="1">
    <w:basedOn w:val="TableNormal"/>
    <w:pPr>
      <w:spacing w:after="0" w:line="240" w:lineRule="auto"/>
    </w:pPr>
    <w:tblPr>
      <w:tblStyleRowBandSize w:val="1"/>
      <w:tblStyleColBandSize w:val="1"/>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3" w:customStyle="1">
    <w:basedOn w:val="TableNormal"/>
    <w:pPr>
      <w:spacing w:after="0" w:line="240" w:lineRule="auto"/>
    </w:pPr>
    <w:tblPr>
      <w:tblStyleRowBandSize w:val="1"/>
      <w:tblStyleColBandSize w:val="1"/>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4" w:customStyle="1">
    <w:basedOn w:val="TableNormal"/>
    <w:pPr>
      <w:spacing w:after="0" w:line="240" w:lineRule="auto"/>
    </w:pPr>
    <w:tblPr>
      <w:tblStyleRowBandSize w:val="1"/>
      <w:tblStyleColBandSize w:val="1"/>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5" w:customStyle="1">
    <w:basedOn w:val="TableNormal"/>
    <w:pPr>
      <w:spacing w:after="0" w:line="240" w:lineRule="auto"/>
    </w:pPr>
    <w:tblPr>
      <w:tblStyleRowBandSize w:val="1"/>
      <w:tblStyleColBandSize w:val="1"/>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6" w:customStyle="1">
    <w:basedOn w:val="TableNormal"/>
    <w:pPr>
      <w:spacing w:after="0" w:line="240" w:lineRule="auto"/>
    </w:pPr>
    <w:tblPr>
      <w:tblStyleRowBandSize w:val="1"/>
      <w:tblStyleColBandSize w:val="1"/>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7" w:customStyle="1">
    <w:basedOn w:val="TableNormal"/>
    <w:pPr>
      <w:spacing w:after="0" w:line="240" w:lineRule="auto"/>
    </w:pPr>
    <w:tblPr>
      <w:tblStyleRowBandSize w:val="1"/>
      <w:tblStyleColBandSize w:val="1"/>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8" w:customStyle="1">
    <w:basedOn w:val="TableNormal"/>
    <w:pPr>
      <w:spacing w:after="0" w:line="240" w:lineRule="auto"/>
    </w:pPr>
    <w:tblPr>
      <w:tblStyleRowBandSize w:val="1"/>
      <w:tblStyleColBandSize w:val="1"/>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9" w:customStyle="1">
    <w:basedOn w:val="TableNormal"/>
    <w:pPr>
      <w:spacing w:after="0" w:line="240" w:lineRule="auto"/>
    </w:pPr>
    <w:tblPr>
      <w:tblStyleRowBandSize w:val="1"/>
      <w:tblStyleColBandSize w:val="1"/>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a" w:customStyle="1">
    <w:basedOn w:val="TableNormal"/>
    <w:pPr>
      <w:spacing w:after="0" w:line="240" w:lineRule="auto"/>
    </w:pPr>
    <w:tblPr>
      <w:tblStyleRowBandSize w:val="1"/>
      <w:tblStyleColBandSize w:val="1"/>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b" w:customStyle="1">
    <w:basedOn w:val="TableNormal"/>
    <w:pPr>
      <w:spacing w:after="0" w:line="240" w:lineRule="auto"/>
    </w:pPr>
    <w:tblPr>
      <w:tblStyleRowBandSize w:val="1"/>
      <w:tblStyleColBandSize w:val="1"/>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c" w:customStyle="1">
    <w:basedOn w:val="TableNormal"/>
    <w:pPr>
      <w:spacing w:after="0" w:line="240" w:lineRule="auto"/>
    </w:pPr>
    <w:tblPr>
      <w:tblStyleRowBandSize w:val="1"/>
      <w:tblStyleColBandSize w:val="1"/>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d" w:customStyle="1">
    <w:basedOn w:val="TableNormal"/>
    <w:pPr>
      <w:spacing w:after="0" w:line="240" w:lineRule="auto"/>
    </w:pPr>
    <w:tblPr>
      <w:tblStyleRowBandSize w:val="1"/>
      <w:tblStyleColBandSize w:val="1"/>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https://www.stylemeetscomfort.ca/fr-ca/accessibility-policy-la-z-boy-of-ottawa-and-kingston" TargetMode="External"/><Relationship Id="rId22" Type="http://schemas.openxmlformats.org/officeDocument/2006/relationships/hyperlink" Target="https://www.stylemeetscomfort.ca/fr-ca/accessibility-policy-la-z-boy-of-ottawa-and-kingston" TargetMode="External"/><Relationship Id="rId21" Type="http://schemas.openxmlformats.org/officeDocument/2006/relationships/hyperlink" Target="https://www.stylemeetscomfort.ca/fr-ca/accessibility-policy-la-z-boy-of-ottawa-and-kingston" TargetMode="External"/><Relationship Id="rId24" Type="http://schemas.openxmlformats.org/officeDocument/2006/relationships/hyperlink" Target="https://www.stylemeetscomfort.ca/fr-ca/accessibility-policy-la-z-boy-of-ottawa-and-kingston" TargetMode="External"/><Relationship Id="rId23" Type="http://schemas.openxmlformats.org/officeDocument/2006/relationships/hyperlink" Target="https://www.stylemeetscomfort.ca/fr-ca/accessibility-policy-la-z-boy-of-ottawa-and-kingst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tylemeetscomfort.ca/fr-ca/accessibility-policy-la-z-boy-of-ottawa-and-kingston" TargetMode="External"/><Relationship Id="rId26" Type="http://schemas.openxmlformats.org/officeDocument/2006/relationships/hyperlink" Target="https://www.stylemeetscomfort.ca/fr-ca/accessibility-policy-la-z-boy-of-ottawa-and-kingston" TargetMode="External"/><Relationship Id="rId25" Type="http://schemas.openxmlformats.org/officeDocument/2006/relationships/hyperlink" Target="https://www.stylemeetscomfort.ca/fr-ca/accessibility-policy-la-z-boy-of-ottawa-and-kingston" TargetMode="External"/><Relationship Id="rId28" Type="http://schemas.openxmlformats.org/officeDocument/2006/relationships/hyperlink" Target="https://www.stylemeetscomfort.ca/fr-ca/accessibility-policy-la-z-boy-of-ottawa-and-kingston" TargetMode="External"/><Relationship Id="rId27" Type="http://schemas.openxmlformats.org/officeDocument/2006/relationships/hyperlink" Target="https://www.stylemeetscomfort.ca/fr-ca/accessibility-policy-la-z-boy-of-ottawa-and-kingston"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stylemeetscomfort.ca/fr-ca/accessibility-policy-la-z-boy-of-ottawa-and-kingston" TargetMode="External"/><Relationship Id="rId7" Type="http://schemas.openxmlformats.org/officeDocument/2006/relationships/hyperlink" Target="https://www.stylemeetscomfort.ca/fr-ca/accessibility-policy-la-z-boy-of-ottawa-and-kingston" TargetMode="External"/><Relationship Id="rId8" Type="http://schemas.openxmlformats.org/officeDocument/2006/relationships/hyperlink" Target="https://www.stylemeetscomfort.ca/fr-ca/accessibility-policy-la-z-boy-of-ottawa-and-kingston" TargetMode="External"/><Relationship Id="rId31" Type="http://schemas.openxmlformats.org/officeDocument/2006/relationships/hyperlink" Target="https://www.stylemeetscomfort.ca/fr-ca/accessibility-policy-la-z-boy-of-ottawa-and-kingston" TargetMode="External"/><Relationship Id="rId30" Type="http://schemas.openxmlformats.org/officeDocument/2006/relationships/hyperlink" Target="https://www.stylemeetscomfort.ca/fr-ca/accessibility-policy-la-z-boy-of-ottawa-and-kingston" TargetMode="External"/><Relationship Id="rId11" Type="http://schemas.openxmlformats.org/officeDocument/2006/relationships/hyperlink" Target="https://www.stylemeetscomfort.ca/fr-ca/accessibility-policy-la-z-boy-of-ottawa-and-kingston" TargetMode="External"/><Relationship Id="rId33" Type="http://schemas.openxmlformats.org/officeDocument/2006/relationships/header" Target="header2.xml"/><Relationship Id="rId10" Type="http://schemas.openxmlformats.org/officeDocument/2006/relationships/hyperlink" Target="https://www.ontario.ca/laws/regulation/110191#BK153" TargetMode="External"/><Relationship Id="rId32" Type="http://schemas.openxmlformats.org/officeDocument/2006/relationships/header" Target="header1.xml"/><Relationship Id="rId13" Type="http://schemas.openxmlformats.org/officeDocument/2006/relationships/hyperlink" Target="https://www.ontario.ca/laws/regulation/110191#BK153" TargetMode="External"/><Relationship Id="rId12" Type="http://schemas.openxmlformats.org/officeDocument/2006/relationships/hyperlink" Target="https://www.stylemeetscomfort.ca/fr-ca/accessibility-policy-la-z-boy-of-ottawa-and-kingston" TargetMode="External"/><Relationship Id="rId34" Type="http://schemas.openxmlformats.org/officeDocument/2006/relationships/footer" Target="footer1.xml"/><Relationship Id="rId15" Type="http://schemas.openxmlformats.org/officeDocument/2006/relationships/hyperlink" Target="https://www.stylemeetscomfort.ca/fr-ca/accessibility-policy-la-z-boy-of-ottawa-and-kingston" TargetMode="External"/><Relationship Id="rId14" Type="http://schemas.openxmlformats.org/officeDocument/2006/relationships/hyperlink" Target="https://www.stylemeetscomfort.ca/fr-ca/accessibility-policy-la-z-boy-of-ottawa-and-kingston" TargetMode="External"/><Relationship Id="rId17" Type="http://schemas.openxmlformats.org/officeDocument/2006/relationships/hyperlink" Target="https://www.stylemeetscomfort.ca/fr-ca/accessibility-policy-la-z-boy-of-ottawa-and-kingston" TargetMode="External"/><Relationship Id="rId16" Type="http://schemas.openxmlformats.org/officeDocument/2006/relationships/hyperlink" Target="https://www.ontario.ca/laws/regulation/110191#BK153" TargetMode="External"/><Relationship Id="rId19" Type="http://schemas.openxmlformats.org/officeDocument/2006/relationships/hyperlink" Target="https://www.ontario.ca/laws/regulation/110191#BK153" TargetMode="External"/><Relationship Id="rId18" Type="http://schemas.openxmlformats.org/officeDocument/2006/relationships/hyperlink" Target="https://www.stylemeetscomfort.ca/fr-ca/accessibility-policy-la-z-boy-of-ottawa-and-kingst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oq+rAukgxy+/5/wLBGKaT6rHGA==">CgMxLjA4AHIhMU5odVF0TkhxLXItczlDUTNPVUlPeTJ6alVSOEc4UXY1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2025-07-21T20:01:00Z</dcterms:created>
  <dc:creator>Ibrahim Diallo</dc:creator>
</cp:coreProperties>
</file>